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74BCB" w14:textId="38B208D1" w:rsidR="00B94767" w:rsidRPr="00C15F4F" w:rsidRDefault="00C15F4F" w:rsidP="00C15F4F">
      <w:pPr>
        <w:jc w:val="center"/>
        <w:rPr>
          <w:b/>
          <w:bCs/>
          <w:lang w:val="en-US"/>
        </w:rPr>
      </w:pPr>
      <w:r>
        <w:rPr>
          <w:b/>
          <w:bCs/>
          <w:lang w:val="en-US"/>
        </w:rPr>
        <w:t xml:space="preserve">CoP Scaling </w:t>
      </w:r>
      <w:r w:rsidRPr="00C15F4F">
        <w:rPr>
          <w:b/>
          <w:bCs/>
          <w:lang w:val="en-US"/>
        </w:rPr>
        <w:t>Tools</w:t>
      </w:r>
    </w:p>
    <w:p w14:paraId="605A04D1" w14:textId="77777777" w:rsidR="00C15F4F" w:rsidRDefault="00C15F4F" w:rsidP="00296296">
      <w:pPr>
        <w:rPr>
          <w:lang w:val="en-US"/>
        </w:rPr>
      </w:pPr>
    </w:p>
    <w:p w14:paraId="7F7F5FDC" w14:textId="3F7F3841" w:rsidR="00D25678" w:rsidRPr="00D25678" w:rsidRDefault="00D25678" w:rsidP="00D25678">
      <w:pPr>
        <w:pStyle w:val="Heading1"/>
        <w:shd w:val="clear" w:color="auto" w:fill="FFFFFF"/>
        <w:spacing w:before="0" w:after="120"/>
        <w:textAlignment w:val="baseline"/>
        <w:rPr>
          <w:rFonts w:asciiTheme="minorHAnsi" w:hAnsiTheme="minorHAnsi" w:cstheme="minorHAnsi"/>
          <w:b/>
          <w:bCs/>
          <w:color w:val="000000" w:themeColor="text1"/>
          <w:sz w:val="24"/>
          <w:szCs w:val="24"/>
        </w:rPr>
      </w:pPr>
      <w:proofErr w:type="spellStart"/>
      <w:r w:rsidRPr="00D25678">
        <w:rPr>
          <w:rFonts w:asciiTheme="minorHAnsi" w:hAnsiTheme="minorHAnsi" w:cstheme="minorHAnsi"/>
          <w:b/>
          <w:bCs/>
          <w:color w:val="000000" w:themeColor="text1"/>
          <w:sz w:val="24"/>
          <w:szCs w:val="24"/>
        </w:rPr>
        <w:t>ExpandNet</w:t>
      </w:r>
      <w:proofErr w:type="spellEnd"/>
      <w:r w:rsidRPr="00D25678">
        <w:rPr>
          <w:rFonts w:asciiTheme="minorHAnsi" w:hAnsiTheme="minorHAnsi" w:cstheme="minorHAnsi"/>
          <w:b/>
          <w:bCs/>
          <w:color w:val="000000" w:themeColor="text1"/>
          <w:sz w:val="24"/>
          <w:szCs w:val="24"/>
        </w:rPr>
        <w:t xml:space="preserve"> </w:t>
      </w:r>
      <w:r w:rsidRPr="00D25678">
        <w:rPr>
          <w:rFonts w:asciiTheme="minorHAnsi" w:hAnsiTheme="minorHAnsi" w:cstheme="minorHAnsi"/>
          <w:b/>
          <w:bCs/>
          <w:color w:val="000000" w:themeColor="text1"/>
          <w:sz w:val="24"/>
          <w:szCs w:val="24"/>
        </w:rPr>
        <w:t>Scaling Tools</w:t>
      </w:r>
    </w:p>
    <w:p w14:paraId="313B0F6C" w14:textId="62E783E2" w:rsidR="00D25678" w:rsidRDefault="00D25678" w:rsidP="00D25678">
      <w:pPr>
        <w:rPr>
          <w:rFonts w:cstheme="minorHAnsi"/>
          <w:color w:val="000000" w:themeColor="text1"/>
          <w:sz w:val="22"/>
          <w:szCs w:val="22"/>
          <w:lang w:val="en-US"/>
        </w:rPr>
      </w:pPr>
      <w:r w:rsidRPr="00D25678">
        <w:rPr>
          <w:rFonts w:eastAsia="Times New Roman" w:cstheme="minorHAnsi"/>
          <w:color w:val="1F2324"/>
          <w:lang w:val="en-US"/>
        </w:rPr>
        <w:t xml:space="preserve">Based on comprehensive literature reviews and the extensive experience of its members with major scale-up initiatives, </w:t>
      </w:r>
      <w:proofErr w:type="spellStart"/>
      <w:r w:rsidRPr="00D25678">
        <w:rPr>
          <w:rFonts w:eastAsia="Times New Roman" w:cstheme="minorHAnsi"/>
          <w:color w:val="1F2324"/>
          <w:lang w:val="en-US"/>
        </w:rPr>
        <w:t>ExpandNet</w:t>
      </w:r>
      <w:proofErr w:type="spellEnd"/>
      <w:r w:rsidRPr="00D25678">
        <w:rPr>
          <w:rFonts w:eastAsia="Times New Roman" w:cstheme="minorHAnsi"/>
          <w:color w:val="1F2324"/>
          <w:lang w:val="en-US"/>
        </w:rPr>
        <w:t>, together with WHO, has produced tools, guides, and other resources which are being used by country teams, projects, and institutions in their scale-up endeavors</w:t>
      </w:r>
      <w:r w:rsidR="00507ADB" w:rsidRPr="00507ADB">
        <w:rPr>
          <w:rFonts w:eastAsia="Times New Roman" w:cstheme="minorHAnsi"/>
          <w:color w:val="1F2324"/>
          <w:lang w:val="en-US"/>
        </w:rPr>
        <w:t xml:space="preserve"> which all feature on this website:</w:t>
      </w:r>
      <w:r w:rsidRPr="00507ADB">
        <w:rPr>
          <w:rFonts w:eastAsia="Times New Roman" w:cstheme="minorHAnsi"/>
          <w:color w:val="1F2324"/>
          <w:lang w:val="en-US"/>
        </w:rPr>
        <w:t xml:space="preserve"> </w:t>
      </w:r>
      <w:hyperlink r:id="rId7" w:history="1">
        <w:r w:rsidRPr="00CA42CC">
          <w:rPr>
            <w:rStyle w:val="Hyperlink"/>
            <w:rFonts w:cstheme="minorHAnsi"/>
            <w:sz w:val="22"/>
            <w:szCs w:val="22"/>
          </w:rPr>
          <w:t>https://expand</w:t>
        </w:r>
        <w:r w:rsidRPr="00CA42CC">
          <w:rPr>
            <w:rStyle w:val="Hyperlink"/>
            <w:rFonts w:cstheme="minorHAnsi"/>
            <w:sz w:val="22"/>
            <w:szCs w:val="22"/>
          </w:rPr>
          <w:t>n</w:t>
        </w:r>
        <w:r w:rsidRPr="00CA42CC">
          <w:rPr>
            <w:rStyle w:val="Hyperlink"/>
            <w:rFonts w:cstheme="minorHAnsi"/>
            <w:sz w:val="22"/>
            <w:szCs w:val="22"/>
          </w:rPr>
          <w:t>et.net/tools/</w:t>
        </w:r>
      </w:hyperlink>
      <w:r w:rsidRPr="00CA42CC">
        <w:rPr>
          <w:rFonts w:cstheme="minorHAnsi"/>
          <w:color w:val="000000" w:themeColor="text1"/>
          <w:sz w:val="22"/>
          <w:szCs w:val="22"/>
        </w:rPr>
        <w:t xml:space="preserve">. </w:t>
      </w:r>
    </w:p>
    <w:p w14:paraId="5B86B2F0" w14:textId="77777777" w:rsidR="00D25678" w:rsidRPr="00D25678" w:rsidRDefault="00D25678" w:rsidP="00D25678">
      <w:pPr>
        <w:rPr>
          <w:rFonts w:eastAsia="Times New Roman" w:cstheme="minorHAnsi"/>
          <w:lang w:val="en-US"/>
        </w:rPr>
      </w:pPr>
    </w:p>
    <w:p w14:paraId="41CB7ED9" w14:textId="435374A8" w:rsidR="00D25678" w:rsidRDefault="00D25678" w:rsidP="00D25678">
      <w:pPr>
        <w:spacing w:after="120"/>
        <w:jc w:val="both"/>
        <w:rPr>
          <w:szCs w:val="22"/>
        </w:rPr>
      </w:pPr>
      <w:r w:rsidRPr="00D25678">
        <w:rPr>
          <w:b/>
          <w:bCs/>
          <w:szCs w:val="22"/>
        </w:rPr>
        <w:t>International Development Innovation Alliance (IDIA)</w:t>
      </w:r>
      <w:r>
        <w:rPr>
          <w:b/>
          <w:bCs/>
          <w:szCs w:val="22"/>
          <w:lang w:val="en-US"/>
        </w:rPr>
        <w:t xml:space="preserve"> Good Practice Guide for Funders</w:t>
      </w:r>
      <w:r w:rsidRPr="00CA42CC">
        <w:rPr>
          <w:szCs w:val="22"/>
        </w:rPr>
        <w:t xml:space="preserve">. </w:t>
      </w:r>
    </w:p>
    <w:p w14:paraId="1FE69893" w14:textId="643F88EA" w:rsidR="00D25678" w:rsidRPr="00D25678" w:rsidRDefault="00D25678" w:rsidP="00D25678">
      <w:pPr>
        <w:rPr>
          <w:rFonts w:eastAsia="Times New Roman" w:cstheme="minorHAnsi"/>
          <w:lang w:val="en-US"/>
        </w:rPr>
      </w:pPr>
      <w:r w:rsidRPr="00D25678">
        <w:rPr>
          <w:rFonts w:eastAsia="Times New Roman" w:cstheme="minorHAnsi"/>
          <w:lang w:val="en-US"/>
        </w:rPr>
        <w:t>This paper in the IDIA Insights series focuses on eight good practices for funders seeking to take promising development innovations to scale. It is designed to accompany the Insights on Scaling Innovation paper that draws on the experience and learning of a wide range of bilateral, multilateral, philanthropic and civil society actors who came together in a Working Group on Scaling Innovation facilitated by the International Development Innovation Alliance (IDIA). While these good practices do not represent the formal strategy or approach of any one single agency in the Working Group or IDIA itself, they do reflect areas of overlapping learning and experience that can be used as a point of reference for interested stakeholders in reflecting on, and enhancing, their own approaches and guidance on scaling innovations.</w:t>
      </w:r>
      <w:r w:rsidR="00161069">
        <w:rPr>
          <w:rFonts w:eastAsia="Times New Roman" w:cstheme="minorHAnsi"/>
          <w:lang w:val="en-US"/>
        </w:rPr>
        <w:t xml:space="preserve"> </w:t>
      </w:r>
      <w:r w:rsidR="00161069">
        <w:fldChar w:fldCharType="begin"/>
      </w:r>
      <w:r w:rsidR="00161069">
        <w:instrText xml:space="preserve"> HYPERLINK "https://static1.squarespace.com/static/5b156e3bf2e6b10bb0788609/t/5b17185af950b797a96de027/1528240221838/Scaling+Innovation+Good+Practice+Guide.pdf" </w:instrText>
      </w:r>
      <w:r w:rsidR="00161069">
        <w:fldChar w:fldCharType="separate"/>
      </w:r>
      <w:r w:rsidR="00161069" w:rsidRPr="00CA42CC">
        <w:rPr>
          <w:rStyle w:val="Hyperlink"/>
          <w:szCs w:val="22"/>
        </w:rPr>
        <w:t>Scaling Innov</w:t>
      </w:r>
      <w:r w:rsidR="00161069" w:rsidRPr="00CA42CC">
        <w:rPr>
          <w:rStyle w:val="Hyperlink"/>
          <w:szCs w:val="22"/>
        </w:rPr>
        <w:t>a</w:t>
      </w:r>
      <w:r w:rsidR="00161069" w:rsidRPr="00CA42CC">
        <w:rPr>
          <w:rStyle w:val="Hyperlink"/>
          <w:szCs w:val="22"/>
        </w:rPr>
        <w:t>tion: Good Practice Guides for Funders.</w:t>
      </w:r>
      <w:r w:rsidR="00161069">
        <w:rPr>
          <w:rStyle w:val="Hyperlink"/>
          <w:szCs w:val="22"/>
        </w:rPr>
        <w:fldChar w:fldCharType="end"/>
      </w:r>
      <w:r w:rsidR="00161069" w:rsidRPr="00CA42CC">
        <w:rPr>
          <w:szCs w:val="22"/>
        </w:rPr>
        <w:t xml:space="preserve"> June 2017</w:t>
      </w:r>
      <w:r w:rsidR="00161069">
        <w:rPr>
          <w:szCs w:val="22"/>
        </w:rPr>
        <w:t>.</w:t>
      </w:r>
    </w:p>
    <w:p w14:paraId="04761B08" w14:textId="77777777" w:rsidR="00D25678" w:rsidRPr="00D25678" w:rsidRDefault="00D25678" w:rsidP="00D25678">
      <w:pPr>
        <w:spacing w:after="120"/>
        <w:ind w:left="720"/>
        <w:jc w:val="both"/>
        <w:rPr>
          <w:szCs w:val="22"/>
          <w:lang w:val="en-US"/>
        </w:rPr>
      </w:pPr>
    </w:p>
    <w:p w14:paraId="30360280" w14:textId="55A2E2BE" w:rsidR="00161069" w:rsidRPr="00161069" w:rsidRDefault="00161069" w:rsidP="00161069">
      <w:pPr>
        <w:spacing w:after="120"/>
        <w:rPr>
          <w:rFonts w:cstheme="minorHAnsi"/>
          <w:b/>
          <w:bCs/>
          <w:color w:val="201F1E"/>
          <w:szCs w:val="22"/>
          <w:bdr w:val="none" w:sz="0" w:space="0" w:color="auto" w:frame="1"/>
          <w:shd w:val="clear" w:color="auto" w:fill="FFFFFF"/>
          <w:lang w:val="en-US"/>
        </w:rPr>
      </w:pPr>
      <w:proofErr w:type="spellStart"/>
      <w:r w:rsidRPr="00161069">
        <w:rPr>
          <w:rFonts w:cstheme="minorHAnsi"/>
          <w:b/>
          <w:bCs/>
          <w:color w:val="201F1E"/>
          <w:szCs w:val="22"/>
          <w:bdr w:val="none" w:sz="0" w:space="0" w:color="auto" w:frame="1"/>
          <w:shd w:val="clear" w:color="auto" w:fill="FFFFFF"/>
          <w:lang w:val="en-US"/>
        </w:rPr>
        <w:t>PPPlab</w:t>
      </w:r>
      <w:proofErr w:type="spellEnd"/>
      <w:r w:rsidRPr="00161069">
        <w:rPr>
          <w:rFonts w:cstheme="minorHAnsi"/>
          <w:b/>
          <w:bCs/>
          <w:color w:val="201F1E"/>
          <w:szCs w:val="22"/>
          <w:bdr w:val="none" w:sz="0" w:space="0" w:color="auto" w:frame="1"/>
          <w:shd w:val="clear" w:color="auto" w:fill="FFFFFF"/>
          <w:lang w:val="en-US"/>
        </w:rPr>
        <w:t xml:space="preserve"> and CIMMYT </w:t>
      </w:r>
      <w:r>
        <w:rPr>
          <w:rFonts w:cstheme="minorHAnsi"/>
          <w:b/>
          <w:bCs/>
          <w:color w:val="201F1E"/>
          <w:szCs w:val="22"/>
          <w:bdr w:val="none" w:sz="0" w:space="0" w:color="auto" w:frame="1"/>
          <w:shd w:val="clear" w:color="auto" w:fill="FFFFFF"/>
          <w:lang w:val="en-US"/>
        </w:rPr>
        <w:t xml:space="preserve">Scaling Scan: </w:t>
      </w:r>
      <w:r w:rsidR="008C1EA6">
        <w:rPr>
          <w:rFonts w:cstheme="minorHAnsi"/>
          <w:b/>
          <w:bCs/>
          <w:color w:val="201F1E"/>
          <w:szCs w:val="22"/>
          <w:bdr w:val="none" w:sz="0" w:space="0" w:color="auto" w:frame="1"/>
          <w:shd w:val="clear" w:color="auto" w:fill="FFFFFF"/>
          <w:lang w:val="en-US"/>
        </w:rPr>
        <w:t>A</w:t>
      </w:r>
      <w:r>
        <w:rPr>
          <w:rFonts w:cstheme="minorHAnsi"/>
          <w:b/>
          <w:bCs/>
          <w:color w:val="201F1E"/>
          <w:szCs w:val="22"/>
          <w:bdr w:val="none" w:sz="0" w:space="0" w:color="auto" w:frame="1"/>
          <w:shd w:val="clear" w:color="auto" w:fill="FFFFFF"/>
          <w:lang w:val="en-US"/>
        </w:rPr>
        <w:t xml:space="preserve"> </w:t>
      </w:r>
      <w:r w:rsidRPr="00161069">
        <w:rPr>
          <w:rFonts w:cstheme="minorHAnsi"/>
          <w:b/>
          <w:bCs/>
          <w:color w:val="201F1E"/>
          <w:szCs w:val="22"/>
          <w:bdr w:val="none" w:sz="0" w:space="0" w:color="auto" w:frame="1"/>
          <w:shd w:val="clear" w:color="auto" w:fill="FFFFFF"/>
          <w:lang w:val="en-US"/>
        </w:rPr>
        <w:t>scal</w:t>
      </w:r>
      <w:r>
        <w:rPr>
          <w:rFonts w:cstheme="minorHAnsi"/>
          <w:b/>
          <w:bCs/>
          <w:color w:val="201F1E"/>
          <w:szCs w:val="22"/>
          <w:bdr w:val="none" w:sz="0" w:space="0" w:color="auto" w:frame="1"/>
          <w:shd w:val="clear" w:color="auto" w:fill="FFFFFF"/>
          <w:lang w:val="en-US"/>
        </w:rPr>
        <w:t>ability</w:t>
      </w:r>
      <w:r w:rsidRPr="00161069">
        <w:rPr>
          <w:rFonts w:cstheme="minorHAnsi"/>
          <w:b/>
          <w:bCs/>
          <w:color w:val="201F1E"/>
          <w:szCs w:val="22"/>
          <w:bdr w:val="none" w:sz="0" w:space="0" w:color="auto" w:frame="1"/>
          <w:shd w:val="clear" w:color="auto" w:fill="FFFFFF"/>
          <w:lang w:val="en-US"/>
        </w:rPr>
        <w:t xml:space="preserve"> assessment tool</w:t>
      </w:r>
    </w:p>
    <w:p w14:paraId="6AF5CB10" w14:textId="5F571459" w:rsidR="00161069" w:rsidRPr="00161069" w:rsidRDefault="00161069" w:rsidP="00161069">
      <w:pPr>
        <w:rPr>
          <w:rFonts w:eastAsia="Times New Roman" w:cstheme="minorHAnsi"/>
          <w:lang w:val="en-US"/>
        </w:rPr>
      </w:pPr>
      <w:r w:rsidRPr="00161069">
        <w:rPr>
          <w:rFonts w:eastAsia="Times New Roman" w:cstheme="minorHAnsi"/>
          <w:lang w:val="en-US"/>
        </w:rPr>
        <w:t xml:space="preserve">The Scaling Scan is designed for anyone involved in pro-poor and sustainable development programs looking to scale impact. Project coordinators, managers and teams who manage project resources and priorities will be those most able to take advantage of the tool. It is specifically designed to develop capacity of </w:t>
      </w:r>
      <w:proofErr w:type="spellStart"/>
      <w:r w:rsidRPr="00161069">
        <w:rPr>
          <w:rFonts w:eastAsia="Times New Roman" w:cstheme="minorHAnsi"/>
          <w:lang w:val="en-US"/>
        </w:rPr>
        <w:t>nonscaling</w:t>
      </w:r>
      <w:proofErr w:type="spellEnd"/>
      <w:r w:rsidRPr="00161069">
        <w:rPr>
          <w:rFonts w:eastAsia="Times New Roman" w:cstheme="minorHAnsi"/>
          <w:lang w:val="en-US"/>
        </w:rPr>
        <w:t xml:space="preserve"> experts to recognize, and make sense of, scaling in their context. </w:t>
      </w:r>
      <w:r>
        <w:rPr>
          <w:rFonts w:eastAsia="Times New Roman" w:cstheme="minorHAnsi"/>
          <w:lang w:val="en-US"/>
        </w:rPr>
        <w:t>It is</w:t>
      </w:r>
      <w:r w:rsidRPr="00161069">
        <w:rPr>
          <w:rFonts w:eastAsia="Times New Roman" w:cstheme="minorHAnsi"/>
          <w:lang w:val="en-US"/>
        </w:rPr>
        <w:t xml:space="preserve"> highly recommend</w:t>
      </w:r>
      <w:r>
        <w:rPr>
          <w:rFonts w:eastAsia="Times New Roman" w:cstheme="minorHAnsi"/>
          <w:lang w:val="en-US"/>
        </w:rPr>
        <w:t>ed to</w:t>
      </w:r>
      <w:r w:rsidRPr="00161069">
        <w:rPr>
          <w:rFonts w:eastAsia="Times New Roman" w:cstheme="minorHAnsi"/>
          <w:lang w:val="en-US"/>
        </w:rPr>
        <w:t xml:space="preserve"> involv</w:t>
      </w:r>
      <w:r>
        <w:rPr>
          <w:rFonts w:eastAsia="Times New Roman" w:cstheme="minorHAnsi"/>
          <w:lang w:val="en-US"/>
        </w:rPr>
        <w:t>e</w:t>
      </w:r>
      <w:r w:rsidRPr="00161069">
        <w:rPr>
          <w:rFonts w:eastAsia="Times New Roman" w:cstheme="minorHAnsi"/>
          <w:lang w:val="en-US"/>
        </w:rPr>
        <w:t xml:space="preserve"> a diverse set of stakeholders for richer and more deliberate choices on what needs to be addressed and done to achieve the scaling ambition. Furthermore, the Scaling Scan can be applied: </w:t>
      </w:r>
      <w:r>
        <w:rPr>
          <w:rFonts w:eastAsia="Times New Roman" w:cstheme="minorHAnsi"/>
          <w:lang w:val="en-US"/>
        </w:rPr>
        <w:t>w</w:t>
      </w:r>
      <w:r w:rsidRPr="00161069">
        <w:rPr>
          <w:rFonts w:eastAsia="Times New Roman" w:cstheme="minorHAnsi"/>
          <w:lang w:val="en-US"/>
        </w:rPr>
        <w:t>ithin a range of sectors, despite being based on experience from the agriculture and the water sector</w:t>
      </w:r>
      <w:r>
        <w:rPr>
          <w:rFonts w:eastAsia="Times New Roman" w:cstheme="minorHAnsi"/>
          <w:lang w:val="en-US"/>
        </w:rPr>
        <w:t>;</w:t>
      </w:r>
      <w:r w:rsidRPr="00161069">
        <w:rPr>
          <w:rFonts w:eastAsia="Times New Roman" w:cstheme="minorHAnsi"/>
          <w:lang w:val="en-US"/>
        </w:rPr>
        <w:t xml:space="preserve"> </w:t>
      </w:r>
      <w:r>
        <w:rPr>
          <w:rFonts w:eastAsia="Times New Roman" w:cstheme="minorHAnsi"/>
          <w:lang w:val="en-US"/>
        </w:rPr>
        <w:t>b</w:t>
      </w:r>
      <w:r w:rsidRPr="00161069">
        <w:rPr>
          <w:rFonts w:eastAsia="Times New Roman" w:cstheme="minorHAnsi"/>
          <w:lang w:val="en-US"/>
        </w:rPr>
        <w:t>y individuals as well as (project) teams</w:t>
      </w:r>
      <w:r>
        <w:rPr>
          <w:rFonts w:eastAsia="Times New Roman" w:cstheme="minorHAnsi"/>
          <w:lang w:val="en-US"/>
        </w:rPr>
        <w:t xml:space="preserve">; </w:t>
      </w:r>
      <w:r w:rsidRPr="00161069">
        <w:rPr>
          <w:rFonts w:eastAsia="Times New Roman" w:cstheme="minorHAnsi"/>
          <w:lang w:val="en-US"/>
        </w:rPr>
        <w:t xml:space="preserve"> </w:t>
      </w:r>
      <w:r>
        <w:rPr>
          <w:rFonts w:eastAsia="Times New Roman" w:cstheme="minorHAnsi"/>
          <w:lang w:val="en-US"/>
        </w:rPr>
        <w:t>b</w:t>
      </w:r>
      <w:r w:rsidRPr="00161069">
        <w:rPr>
          <w:rFonts w:eastAsia="Times New Roman" w:cstheme="minorHAnsi"/>
          <w:lang w:val="en-US"/>
        </w:rPr>
        <w:t>y individual organizations and partnerships</w:t>
      </w:r>
      <w:r>
        <w:rPr>
          <w:rFonts w:eastAsia="Times New Roman" w:cstheme="minorHAnsi"/>
          <w:lang w:val="en-US"/>
        </w:rPr>
        <w:t>.</w:t>
      </w:r>
    </w:p>
    <w:p w14:paraId="3C171893" w14:textId="77777777" w:rsidR="00161069" w:rsidRDefault="00D25678" w:rsidP="00507ADB">
      <w:pPr>
        <w:rPr>
          <w:rFonts w:cstheme="minorHAnsi"/>
          <w:color w:val="201F1E"/>
          <w:szCs w:val="22"/>
          <w:bdr w:val="none" w:sz="0" w:space="0" w:color="auto" w:frame="1"/>
          <w:shd w:val="clear" w:color="auto" w:fill="FFFFFF"/>
        </w:rPr>
      </w:pPr>
      <w:r w:rsidRPr="001F5910">
        <w:rPr>
          <w:rFonts w:cstheme="minorHAnsi"/>
          <w:color w:val="201F1E"/>
          <w:szCs w:val="22"/>
          <w:bdr w:val="none" w:sz="0" w:space="0" w:color="auto" w:frame="1"/>
          <w:shd w:val="clear" w:color="auto" w:fill="FFFFFF"/>
        </w:rPr>
        <w:t>Jacobs, F., Ubels, J., Woltering, L., Boa-Alvarado, M.</w:t>
      </w:r>
      <w:r>
        <w:rPr>
          <w:rFonts w:cstheme="minorHAnsi"/>
          <w:color w:val="201F1E"/>
          <w:szCs w:val="22"/>
          <w:bdr w:val="none" w:sz="0" w:space="0" w:color="auto" w:frame="1"/>
          <w:shd w:val="clear" w:color="auto" w:fill="FFFFFF"/>
        </w:rPr>
        <w:t xml:space="preserve"> </w:t>
      </w:r>
      <w:r w:rsidRPr="001F5910">
        <w:rPr>
          <w:rFonts w:cstheme="minorHAnsi"/>
          <w:color w:val="201F1E"/>
          <w:szCs w:val="22"/>
          <w:bdr w:val="none" w:sz="0" w:space="0" w:color="auto" w:frame="1"/>
          <w:shd w:val="clear" w:color="auto" w:fill="FFFFFF"/>
        </w:rPr>
        <w:t>(2021). The Scaling Scan</w:t>
      </w:r>
      <w:r>
        <w:rPr>
          <w:rFonts w:cstheme="minorHAnsi"/>
          <w:color w:val="201F1E"/>
          <w:szCs w:val="22"/>
          <w:bdr w:val="none" w:sz="0" w:space="0" w:color="auto" w:frame="1"/>
          <w:shd w:val="clear" w:color="auto" w:fill="FFFFFF"/>
        </w:rPr>
        <w:t xml:space="preserve">: </w:t>
      </w:r>
      <w:r w:rsidRPr="001F5910">
        <w:rPr>
          <w:rFonts w:cstheme="minorHAnsi"/>
          <w:color w:val="201F1E"/>
          <w:szCs w:val="22"/>
          <w:bdr w:val="none" w:sz="0" w:space="0" w:color="auto" w:frame="1"/>
          <w:shd w:val="clear" w:color="auto" w:fill="FFFFFF"/>
        </w:rPr>
        <w:t>A practical tool to determine the strengths and weaknesses of your scaling ambition. (2nd Edition). Published by the PPPlab and CIMMYT.</w:t>
      </w:r>
      <w:r w:rsidR="00161069">
        <w:rPr>
          <w:rFonts w:cstheme="minorHAnsi"/>
          <w:color w:val="201F1E"/>
          <w:szCs w:val="22"/>
          <w:bdr w:val="none" w:sz="0" w:space="0" w:color="auto" w:frame="1"/>
          <w:shd w:val="clear" w:color="auto" w:fill="FFFFFF"/>
          <w:lang w:val="en-US"/>
        </w:rPr>
        <w:t xml:space="preserve"> 2</w:t>
      </w:r>
      <w:r>
        <w:rPr>
          <w:rFonts w:cstheme="minorHAnsi"/>
          <w:color w:val="201F1E"/>
          <w:szCs w:val="22"/>
          <w:bdr w:val="none" w:sz="0" w:space="0" w:color="auto" w:frame="1"/>
          <w:shd w:val="clear" w:color="auto" w:fill="FFFFFF"/>
        </w:rPr>
        <w:t>021.</w:t>
      </w:r>
      <w:r w:rsidRPr="001F5910">
        <w:rPr>
          <w:rFonts w:cstheme="minorHAnsi"/>
          <w:color w:val="201F1E"/>
          <w:szCs w:val="22"/>
          <w:bdr w:val="none" w:sz="0" w:space="0" w:color="auto" w:frame="1"/>
          <w:shd w:val="clear" w:color="auto" w:fill="FFFFFF"/>
        </w:rPr>
        <w:t> </w:t>
      </w:r>
    </w:p>
    <w:p w14:paraId="36CE11CA" w14:textId="22512004" w:rsidR="00D25678" w:rsidRPr="00AD30B0" w:rsidRDefault="00161069" w:rsidP="00161069">
      <w:pPr>
        <w:spacing w:after="120"/>
        <w:rPr>
          <w:rFonts w:cstheme="minorHAnsi"/>
          <w:szCs w:val="22"/>
        </w:rPr>
      </w:pPr>
      <w:hyperlink r:id="rId8" w:history="1">
        <w:r w:rsidRPr="00C64366">
          <w:rPr>
            <w:rStyle w:val="Hyperlink"/>
            <w:rFonts w:cstheme="minorHAnsi"/>
            <w:szCs w:val="22"/>
            <w:bdr w:val="none" w:sz="0" w:space="0" w:color="auto" w:frame="1"/>
            <w:shd w:val="clear" w:color="auto" w:fill="FFFFFF"/>
          </w:rPr>
          <w:t>https://repository.cimmyt.org/handl</w:t>
        </w:r>
        <w:r w:rsidRPr="00C64366">
          <w:rPr>
            <w:rStyle w:val="Hyperlink"/>
            <w:rFonts w:cstheme="minorHAnsi"/>
            <w:szCs w:val="22"/>
            <w:bdr w:val="none" w:sz="0" w:space="0" w:color="auto" w:frame="1"/>
            <w:shd w:val="clear" w:color="auto" w:fill="FFFFFF"/>
          </w:rPr>
          <w:t>e</w:t>
        </w:r>
        <w:r w:rsidRPr="00C64366">
          <w:rPr>
            <w:rStyle w:val="Hyperlink"/>
            <w:rFonts w:cstheme="minorHAnsi"/>
            <w:szCs w:val="22"/>
            <w:bdr w:val="none" w:sz="0" w:space="0" w:color="auto" w:frame="1"/>
            <w:shd w:val="clear" w:color="auto" w:fill="FFFFFF"/>
          </w:rPr>
          <w:t>/10883/21507</w:t>
        </w:r>
      </w:hyperlink>
    </w:p>
    <w:p w14:paraId="6DDA81C0" w14:textId="72B088E0" w:rsidR="00507ADB" w:rsidRDefault="00507ADB" w:rsidP="00507ADB">
      <w:pPr>
        <w:rPr>
          <w:rFonts w:ascii="Times New Roman" w:eastAsia="Times New Roman" w:hAnsi="Times New Roman" w:cs="Times New Roman"/>
          <w:lang w:val="en-US"/>
        </w:rPr>
      </w:pPr>
    </w:p>
    <w:p w14:paraId="797FE964" w14:textId="3D140ECF" w:rsidR="00507ADB" w:rsidRPr="00507ADB" w:rsidRDefault="00507ADB" w:rsidP="00507ADB">
      <w:pPr>
        <w:spacing w:after="120"/>
        <w:rPr>
          <w:rFonts w:eastAsia="Times New Roman" w:cstheme="minorHAnsi"/>
          <w:b/>
          <w:bCs/>
          <w:lang w:val="en-US"/>
        </w:rPr>
      </w:pPr>
      <w:r w:rsidRPr="00507ADB">
        <w:rPr>
          <w:rFonts w:eastAsia="Times New Roman" w:cstheme="minorHAnsi"/>
          <w:b/>
          <w:bCs/>
          <w:lang w:val="en-US"/>
        </w:rPr>
        <w:t>M</w:t>
      </w:r>
      <w:r>
        <w:rPr>
          <w:rFonts w:eastAsia="Times New Roman" w:cstheme="minorHAnsi"/>
          <w:b/>
          <w:bCs/>
          <w:lang w:val="en-US"/>
        </w:rPr>
        <w:t xml:space="preserve">anagement </w:t>
      </w:r>
      <w:r w:rsidRPr="00507ADB">
        <w:rPr>
          <w:rFonts w:eastAsia="Times New Roman" w:cstheme="minorHAnsi"/>
          <w:b/>
          <w:bCs/>
          <w:lang w:val="en-US"/>
        </w:rPr>
        <w:t>S</w:t>
      </w:r>
      <w:r>
        <w:rPr>
          <w:rFonts w:eastAsia="Times New Roman" w:cstheme="minorHAnsi"/>
          <w:b/>
          <w:bCs/>
          <w:lang w:val="en-US"/>
        </w:rPr>
        <w:t>ystems International (MSI)</w:t>
      </w:r>
      <w:r w:rsidRPr="00507ADB">
        <w:rPr>
          <w:rFonts w:eastAsia="Times New Roman" w:cstheme="minorHAnsi"/>
          <w:b/>
          <w:bCs/>
          <w:lang w:val="en-US"/>
        </w:rPr>
        <w:t xml:space="preserve"> Scaling Toolkit</w:t>
      </w:r>
    </w:p>
    <w:p w14:paraId="3B5C8435" w14:textId="264841E1" w:rsidR="00507ADB" w:rsidRPr="00507ADB" w:rsidRDefault="00507ADB" w:rsidP="00507ADB">
      <w:pPr>
        <w:rPr>
          <w:rFonts w:eastAsia="Times New Roman" w:cstheme="minorHAnsi"/>
          <w:lang w:val="en-US"/>
        </w:rPr>
      </w:pPr>
      <w:r w:rsidRPr="00507ADB">
        <w:rPr>
          <w:rFonts w:eastAsia="Times New Roman" w:cstheme="minorHAnsi"/>
          <w:lang w:val="en-US"/>
        </w:rPr>
        <w:t xml:space="preserve">This Toolkit </w:t>
      </w:r>
      <w:r>
        <w:rPr>
          <w:rFonts w:eastAsia="Times New Roman" w:cstheme="minorHAnsi"/>
          <w:lang w:val="en-US"/>
        </w:rPr>
        <w:t>(“</w:t>
      </w:r>
      <w:r w:rsidRPr="00CA42CC">
        <w:rPr>
          <w:szCs w:val="22"/>
        </w:rPr>
        <w:t>Scaling Up from Vision to Large Scale Change: Tools for Practitioners.</w:t>
      </w:r>
      <w:r>
        <w:rPr>
          <w:szCs w:val="22"/>
          <w:lang w:val="en-US"/>
        </w:rPr>
        <w:t xml:space="preserve"> 2</w:t>
      </w:r>
      <w:r w:rsidRPr="00507ADB">
        <w:rPr>
          <w:szCs w:val="22"/>
          <w:vertAlign w:val="superscript"/>
          <w:lang w:val="en-US"/>
        </w:rPr>
        <w:t>nd</w:t>
      </w:r>
      <w:r>
        <w:rPr>
          <w:szCs w:val="22"/>
          <w:lang w:val="en-US"/>
        </w:rPr>
        <w:t xml:space="preserve"> Edition,” 2021) </w:t>
      </w:r>
      <w:r w:rsidRPr="00507ADB">
        <w:rPr>
          <w:rFonts w:eastAsia="Times New Roman" w:cstheme="minorHAnsi"/>
          <w:lang w:val="en-US"/>
        </w:rPr>
        <w:t>is intended as a companion to MSI’s three</w:t>
      </w:r>
      <w:r>
        <w:rPr>
          <w:rFonts w:eastAsia="Times New Roman" w:cstheme="minorHAnsi"/>
          <w:lang w:val="en-US"/>
        </w:rPr>
        <w:t>-</w:t>
      </w:r>
      <w:r w:rsidRPr="00507ADB">
        <w:rPr>
          <w:rFonts w:eastAsia="Times New Roman" w:cstheme="minorHAnsi"/>
          <w:lang w:val="en-US"/>
        </w:rPr>
        <w:t xml:space="preserve">step, 10-task Scaling Up Management </w:t>
      </w:r>
      <w:r w:rsidR="00A51334">
        <w:rPr>
          <w:rFonts w:eastAsia="Times New Roman" w:cstheme="minorHAnsi"/>
          <w:lang w:val="en-US"/>
        </w:rPr>
        <w:t>Framework</w:t>
      </w:r>
      <w:r w:rsidRPr="00507ADB">
        <w:rPr>
          <w:rFonts w:eastAsia="Times New Roman" w:cstheme="minorHAnsi"/>
          <w:lang w:val="en-US"/>
        </w:rPr>
        <w:t xml:space="preserve">. The </w:t>
      </w:r>
      <w:r w:rsidR="00A51334">
        <w:rPr>
          <w:rFonts w:eastAsia="Times New Roman" w:cstheme="minorHAnsi"/>
          <w:lang w:val="en-US"/>
        </w:rPr>
        <w:t>purpose</w:t>
      </w:r>
      <w:r w:rsidRPr="00507ADB">
        <w:rPr>
          <w:rFonts w:eastAsia="Times New Roman" w:cstheme="minorHAnsi"/>
          <w:lang w:val="en-US"/>
        </w:rPr>
        <w:t xml:space="preserve"> of this companion volume is to provide a set of practical, easy-to-use tools, guidelines and techniques developed and refined through field experience to assist organizations implementing the </w:t>
      </w:r>
      <w:r w:rsidR="00A51334">
        <w:rPr>
          <w:rFonts w:eastAsia="Times New Roman" w:cstheme="minorHAnsi"/>
          <w:lang w:val="en-US"/>
        </w:rPr>
        <w:t>Framework</w:t>
      </w:r>
      <w:r w:rsidRPr="00507ADB">
        <w:rPr>
          <w:rFonts w:eastAsia="Times New Roman" w:cstheme="minorHAnsi"/>
          <w:lang w:val="en-US"/>
        </w:rPr>
        <w:t xml:space="preserve">’s steps and tasks. </w:t>
      </w:r>
      <w:hyperlink r:id="rId9" w:history="1">
        <w:r w:rsidRPr="00C64366">
          <w:rPr>
            <w:rStyle w:val="Hyperlink"/>
            <w:rFonts w:eastAsia="Times New Roman" w:cstheme="minorHAnsi"/>
            <w:lang w:val="en-US"/>
          </w:rPr>
          <w:t>https://www.msiworldwide.com/sites/default/files/additional-resources/2021-05/ScalingUp_toolkit_2021_v5_0.pdf</w:t>
        </w:r>
      </w:hyperlink>
      <w:r>
        <w:rPr>
          <w:rFonts w:eastAsia="Times New Roman" w:cstheme="minorHAnsi"/>
          <w:lang w:val="en-US"/>
        </w:rPr>
        <w:t xml:space="preserve"> </w:t>
      </w:r>
    </w:p>
    <w:p w14:paraId="135B50E5" w14:textId="0E78F3B1" w:rsidR="00D25678" w:rsidRDefault="00D25678" w:rsidP="00C15F4F">
      <w:pPr>
        <w:spacing w:after="120"/>
        <w:rPr>
          <w:b/>
          <w:bCs/>
          <w:lang w:val="en-US"/>
        </w:rPr>
      </w:pPr>
    </w:p>
    <w:p w14:paraId="51299335" w14:textId="729CDE15" w:rsidR="008C1EA6" w:rsidRDefault="008C1EA6" w:rsidP="00C15F4F">
      <w:pPr>
        <w:spacing w:after="120"/>
        <w:rPr>
          <w:b/>
          <w:bCs/>
          <w:lang w:val="en-US"/>
        </w:rPr>
      </w:pPr>
      <w:r>
        <w:rPr>
          <w:b/>
          <w:bCs/>
          <w:lang w:val="en-US"/>
        </w:rPr>
        <w:lastRenderedPageBreak/>
        <w:t>Brookings Center for Universal Education Institutionalization Tracker Tool</w:t>
      </w:r>
    </w:p>
    <w:p w14:paraId="613CE170" w14:textId="2F56EA04" w:rsidR="008C1EA6" w:rsidRPr="008C1EA6" w:rsidRDefault="008C1EA6" w:rsidP="008C1EA6">
      <w:pPr>
        <w:rPr>
          <w:rFonts w:eastAsia="Times New Roman" w:cstheme="minorHAnsi"/>
          <w:lang w:val="en-US"/>
        </w:rPr>
      </w:pPr>
      <w:r w:rsidRPr="008C1EA6">
        <w:rPr>
          <w:rFonts w:eastAsia="Times New Roman" w:cstheme="minorHAnsi"/>
          <w:color w:val="505050"/>
          <w:shd w:val="clear" w:color="auto" w:fill="FFFFFF"/>
          <w:lang w:val="en-US"/>
        </w:rPr>
        <w:t xml:space="preserve">The Institutionalization Tracker </w:t>
      </w:r>
      <w:r>
        <w:rPr>
          <w:rFonts w:eastAsia="Times New Roman" w:cstheme="minorHAnsi"/>
          <w:color w:val="505050"/>
          <w:shd w:val="clear" w:color="auto" w:fill="FFFFFF"/>
          <w:lang w:val="en-US"/>
        </w:rPr>
        <w:t xml:space="preserve">(2021) </w:t>
      </w:r>
      <w:r w:rsidRPr="008C1EA6">
        <w:rPr>
          <w:rFonts w:eastAsia="Times New Roman" w:cstheme="minorHAnsi"/>
          <w:color w:val="505050"/>
          <w:shd w:val="clear" w:color="auto" w:fill="FFFFFF"/>
          <w:lang w:val="en-US"/>
        </w:rPr>
        <w:t>helps implementers, policymakers, and funders measure the progress of integrating an initiative into an education system and identify areas that require additional attention for further integration. This tool is designed to track progress toward institutionalization. It is organized by education system building blocks, each of which is broken down into specific elements. For each element, there is a set of criteria to consider when assigning a score ranging from “low institutionalization” to “high institutionalization,” and a column for providing an explanation for the score selected. The tool should be used when the vision for scaling includes government adoption or mainstreaming of an initiative into a formal education system. It should ideally be used at regular intervals (approximately every six months) to assess progress and determine actions to strengthen and advance institutionalization efforts.</w:t>
      </w:r>
      <w:r>
        <w:rPr>
          <w:rFonts w:eastAsia="Times New Roman" w:cstheme="minorHAnsi"/>
          <w:color w:val="505050"/>
          <w:shd w:val="clear" w:color="auto" w:fill="FFFFFF"/>
          <w:lang w:val="en-US"/>
        </w:rPr>
        <w:t xml:space="preserve"> </w:t>
      </w:r>
      <w:hyperlink r:id="rId10" w:history="1">
        <w:r w:rsidRPr="00C64366">
          <w:rPr>
            <w:rStyle w:val="Hyperlink"/>
            <w:rFonts w:eastAsia="Times New Roman" w:cstheme="minorHAnsi"/>
            <w:shd w:val="clear" w:color="auto" w:fill="FFFFFF"/>
            <w:lang w:val="en-US"/>
          </w:rPr>
          <w:t>https://autopapers.ssrn.com/sol3/papers.cfm?abstract_id=3957339</w:t>
        </w:r>
      </w:hyperlink>
      <w:r>
        <w:rPr>
          <w:rFonts w:eastAsia="Times New Roman" w:cstheme="minorHAnsi"/>
          <w:color w:val="505050"/>
          <w:shd w:val="clear" w:color="auto" w:fill="FFFFFF"/>
          <w:lang w:val="en-US"/>
        </w:rPr>
        <w:t xml:space="preserve"> </w:t>
      </w:r>
    </w:p>
    <w:p w14:paraId="5E3FC169" w14:textId="77777777" w:rsidR="008C1EA6" w:rsidRDefault="008C1EA6" w:rsidP="00C15F4F">
      <w:pPr>
        <w:spacing w:after="120"/>
        <w:rPr>
          <w:b/>
          <w:bCs/>
          <w:lang w:val="en-US"/>
        </w:rPr>
      </w:pPr>
    </w:p>
    <w:p w14:paraId="0D55B2D6" w14:textId="7184EBE9" w:rsidR="00C15F4F" w:rsidRPr="00C15F4F" w:rsidRDefault="00C15F4F" w:rsidP="00C15F4F">
      <w:pPr>
        <w:spacing w:after="120"/>
        <w:rPr>
          <w:b/>
          <w:bCs/>
          <w:lang w:val="en-US"/>
        </w:rPr>
      </w:pPr>
      <w:r w:rsidRPr="00C15F4F">
        <w:rPr>
          <w:b/>
          <w:bCs/>
          <w:lang w:val="en-US"/>
        </w:rPr>
        <w:t xml:space="preserve">Scaling Training Tool by CGIAR and </w:t>
      </w:r>
      <w:proofErr w:type="spellStart"/>
      <w:r w:rsidRPr="00C15F4F">
        <w:rPr>
          <w:b/>
          <w:bCs/>
          <w:lang w:val="en-US"/>
        </w:rPr>
        <w:t>Wagening</w:t>
      </w:r>
      <w:proofErr w:type="spellEnd"/>
      <w:r w:rsidRPr="00C15F4F">
        <w:rPr>
          <w:b/>
          <w:bCs/>
          <w:lang w:val="en-US"/>
        </w:rPr>
        <w:t xml:space="preserve"> University</w:t>
      </w:r>
    </w:p>
    <w:p w14:paraId="4DA9F69A" w14:textId="51B66762" w:rsidR="00296296" w:rsidRDefault="00296296" w:rsidP="00C15F4F">
      <w:pPr>
        <w:spacing w:after="120"/>
        <w:rPr>
          <w:lang w:val="en-US"/>
        </w:rPr>
      </w:pPr>
      <w:r w:rsidRPr="00296296">
        <w:rPr>
          <w:lang w:val="en-US"/>
        </w:rPr>
        <w:t>Achieving impact at scale is one of the greatest challenges facing the research and development community, and ‘scaling of innovation’ is increasingly popular in the world of public research and development</w:t>
      </w:r>
      <w:r>
        <w:rPr>
          <w:lang w:val="en-US"/>
        </w:rPr>
        <w:t xml:space="preserve">. However, innovation and scaling often mean different things for </w:t>
      </w:r>
      <w:r w:rsidR="00543BFE">
        <w:rPr>
          <w:lang w:val="en-US"/>
        </w:rPr>
        <w:t xml:space="preserve">stakeholders representing research, development organizations, private sector and government organizations. </w:t>
      </w:r>
      <w:r>
        <w:rPr>
          <w:lang w:val="en-US"/>
        </w:rPr>
        <w:t xml:space="preserve">To support </w:t>
      </w:r>
      <w:r w:rsidR="00543BFE">
        <w:rPr>
          <w:lang w:val="en-US"/>
        </w:rPr>
        <w:t>organizations</w:t>
      </w:r>
      <w:r w:rsidR="008C2412">
        <w:rPr>
          <w:lang w:val="en-US"/>
        </w:rPr>
        <w:t>,</w:t>
      </w:r>
      <w:r w:rsidR="00543BFE">
        <w:rPr>
          <w:lang w:val="en-US"/>
        </w:rPr>
        <w:t xml:space="preserve"> project </w:t>
      </w:r>
      <w:r>
        <w:rPr>
          <w:lang w:val="en-US"/>
        </w:rPr>
        <w:t xml:space="preserve">teams and </w:t>
      </w:r>
      <w:r w:rsidR="00543BFE">
        <w:rPr>
          <w:lang w:val="en-US"/>
        </w:rPr>
        <w:t>th</w:t>
      </w:r>
      <w:r w:rsidR="008C2412">
        <w:rPr>
          <w:lang w:val="en-US"/>
        </w:rPr>
        <w:t>ei</w:t>
      </w:r>
      <w:r w:rsidR="00543BFE">
        <w:rPr>
          <w:lang w:val="en-US"/>
        </w:rPr>
        <w:t>r</w:t>
      </w:r>
      <w:r>
        <w:rPr>
          <w:lang w:val="en-US"/>
        </w:rPr>
        <w:t xml:space="preserve"> partners </w:t>
      </w:r>
      <w:r w:rsidR="008C2412">
        <w:rPr>
          <w:lang w:val="en-US"/>
        </w:rPr>
        <w:t>in developing</w:t>
      </w:r>
      <w:r>
        <w:rPr>
          <w:lang w:val="en-US"/>
        </w:rPr>
        <w:t xml:space="preserve"> a common understanding of innovation and scaling in the context of </w:t>
      </w:r>
      <w:r w:rsidR="00543BFE">
        <w:rPr>
          <w:lang w:val="en-US"/>
        </w:rPr>
        <w:t xml:space="preserve">international </w:t>
      </w:r>
      <w:r>
        <w:rPr>
          <w:lang w:val="en-US"/>
        </w:rPr>
        <w:t xml:space="preserve">development, an online course was developed. </w:t>
      </w:r>
    </w:p>
    <w:p w14:paraId="0C66577A" w14:textId="77777777" w:rsidR="00296296" w:rsidRDefault="00296296" w:rsidP="00296296">
      <w:pPr>
        <w:rPr>
          <w:lang w:val="en-US"/>
        </w:rPr>
      </w:pPr>
      <w:r>
        <w:rPr>
          <w:lang w:val="en-US"/>
        </w:rPr>
        <w:t>The course covers 6 Modules that answer questions such as:</w:t>
      </w:r>
    </w:p>
    <w:p w14:paraId="4D369B84" w14:textId="77777777" w:rsidR="00296296" w:rsidRDefault="00296296" w:rsidP="00926373">
      <w:pPr>
        <w:pStyle w:val="ListParagraph"/>
        <w:numPr>
          <w:ilvl w:val="0"/>
          <w:numId w:val="5"/>
        </w:numPr>
        <w:rPr>
          <w:lang w:val="en-US"/>
        </w:rPr>
      </w:pPr>
      <w:r>
        <w:rPr>
          <w:lang w:val="en-US"/>
        </w:rPr>
        <w:t xml:space="preserve">What do we mean with </w:t>
      </w:r>
      <w:r w:rsidRPr="005E37C0">
        <w:rPr>
          <w:b/>
          <w:bCs/>
          <w:lang w:val="en-US"/>
        </w:rPr>
        <w:t>innovation</w:t>
      </w:r>
      <w:r>
        <w:rPr>
          <w:lang w:val="en-US"/>
        </w:rPr>
        <w:t>?</w:t>
      </w:r>
    </w:p>
    <w:p w14:paraId="42F8F9A2" w14:textId="77777777" w:rsidR="00296296" w:rsidRDefault="00296296" w:rsidP="00926373">
      <w:pPr>
        <w:pStyle w:val="ListParagraph"/>
        <w:numPr>
          <w:ilvl w:val="0"/>
          <w:numId w:val="5"/>
        </w:numPr>
        <w:rPr>
          <w:lang w:val="en-US"/>
        </w:rPr>
      </w:pPr>
      <w:r>
        <w:rPr>
          <w:lang w:val="en-US"/>
        </w:rPr>
        <w:t xml:space="preserve">How do innovations scale as part of </w:t>
      </w:r>
      <w:r w:rsidRPr="005E37C0">
        <w:rPr>
          <w:b/>
          <w:bCs/>
          <w:lang w:val="en-US"/>
        </w:rPr>
        <w:t>packages</w:t>
      </w:r>
      <w:r>
        <w:rPr>
          <w:lang w:val="en-US"/>
        </w:rPr>
        <w:t>?</w:t>
      </w:r>
    </w:p>
    <w:p w14:paraId="648D9E28" w14:textId="77777777" w:rsidR="00296296" w:rsidRDefault="00296296" w:rsidP="00926373">
      <w:pPr>
        <w:pStyle w:val="ListParagraph"/>
        <w:numPr>
          <w:ilvl w:val="0"/>
          <w:numId w:val="5"/>
        </w:numPr>
        <w:rPr>
          <w:lang w:val="en-US"/>
        </w:rPr>
      </w:pPr>
      <w:r>
        <w:rPr>
          <w:lang w:val="en-US"/>
        </w:rPr>
        <w:t xml:space="preserve">How do we ensure </w:t>
      </w:r>
      <w:r w:rsidRPr="005E37C0">
        <w:rPr>
          <w:b/>
          <w:bCs/>
          <w:lang w:val="en-US"/>
        </w:rPr>
        <w:t>(gender-)responsible scaling</w:t>
      </w:r>
      <w:r>
        <w:rPr>
          <w:lang w:val="en-US"/>
        </w:rPr>
        <w:t>?</w:t>
      </w:r>
    </w:p>
    <w:p w14:paraId="065642A0" w14:textId="77777777" w:rsidR="00543BFE" w:rsidRDefault="00543BFE" w:rsidP="00926373">
      <w:pPr>
        <w:pStyle w:val="ListParagraph"/>
        <w:numPr>
          <w:ilvl w:val="0"/>
          <w:numId w:val="5"/>
        </w:numPr>
        <w:rPr>
          <w:lang w:val="en-US"/>
        </w:rPr>
      </w:pPr>
      <w:r>
        <w:rPr>
          <w:lang w:val="en-US"/>
        </w:rPr>
        <w:t xml:space="preserve">How do we measure the </w:t>
      </w:r>
      <w:r w:rsidRPr="00543BFE">
        <w:rPr>
          <w:b/>
          <w:bCs/>
          <w:lang w:val="en-US"/>
        </w:rPr>
        <w:t>Scaling Readiness</w:t>
      </w:r>
      <w:r>
        <w:rPr>
          <w:lang w:val="en-US"/>
        </w:rPr>
        <w:t xml:space="preserve"> of innovations?</w:t>
      </w:r>
    </w:p>
    <w:p w14:paraId="21A67F7E" w14:textId="77777777" w:rsidR="00296296" w:rsidRDefault="00296296" w:rsidP="00926373">
      <w:pPr>
        <w:pStyle w:val="ListParagraph"/>
        <w:numPr>
          <w:ilvl w:val="0"/>
          <w:numId w:val="5"/>
        </w:numPr>
        <w:rPr>
          <w:lang w:val="en-US"/>
        </w:rPr>
      </w:pPr>
      <w:r>
        <w:rPr>
          <w:lang w:val="en-US"/>
        </w:rPr>
        <w:t xml:space="preserve">How to develop evidence-based </w:t>
      </w:r>
      <w:r w:rsidRPr="005E37C0">
        <w:rPr>
          <w:b/>
          <w:bCs/>
          <w:lang w:val="en-US"/>
        </w:rPr>
        <w:t>scaling strategies</w:t>
      </w:r>
      <w:r>
        <w:rPr>
          <w:lang w:val="en-US"/>
        </w:rPr>
        <w:t xml:space="preserve"> with partners?</w:t>
      </w:r>
    </w:p>
    <w:p w14:paraId="0B75D6F9" w14:textId="6BD7C6A4" w:rsidR="00296296" w:rsidRPr="00BE6F53" w:rsidRDefault="00296296" w:rsidP="00C15F4F">
      <w:pPr>
        <w:pStyle w:val="ListParagraph"/>
        <w:numPr>
          <w:ilvl w:val="0"/>
          <w:numId w:val="5"/>
        </w:numPr>
        <w:spacing w:after="120"/>
        <w:rPr>
          <w:lang w:val="en-US"/>
        </w:rPr>
      </w:pPr>
      <w:r>
        <w:rPr>
          <w:lang w:val="en-US"/>
        </w:rPr>
        <w:t>Why inves</w:t>
      </w:r>
      <w:r w:rsidR="00417DFE">
        <w:rPr>
          <w:lang w:val="en-US"/>
        </w:rPr>
        <w:t>t</w:t>
      </w:r>
      <w:r>
        <w:rPr>
          <w:lang w:val="en-US"/>
        </w:rPr>
        <w:t xml:space="preserve"> in </w:t>
      </w:r>
      <w:r w:rsidRPr="005E37C0">
        <w:rPr>
          <w:b/>
          <w:bCs/>
          <w:lang w:val="en-US"/>
        </w:rPr>
        <w:t>innovation portfolio management</w:t>
      </w:r>
      <w:r>
        <w:rPr>
          <w:lang w:val="en-US"/>
        </w:rPr>
        <w:t>?</w:t>
      </w:r>
    </w:p>
    <w:p w14:paraId="12CF0E4C" w14:textId="1765D7BD" w:rsidR="00296296" w:rsidRDefault="00296296" w:rsidP="00C15F4F">
      <w:pPr>
        <w:spacing w:after="120"/>
        <w:rPr>
          <w:lang w:val="en-US"/>
        </w:rPr>
      </w:pPr>
      <w:r>
        <w:rPr>
          <w:lang w:val="en-US"/>
        </w:rPr>
        <w:t xml:space="preserve">The online course was developed </w:t>
      </w:r>
      <w:r w:rsidR="00543BFE">
        <w:rPr>
          <w:lang w:val="en-US"/>
        </w:rPr>
        <w:t xml:space="preserve">by innovation and scaling experts representing Wageningen University and the CGIAR, a </w:t>
      </w:r>
      <w:r w:rsidR="00543BFE" w:rsidRPr="00543BFE">
        <w:rPr>
          <w:lang w:val="en-US"/>
        </w:rPr>
        <w:t>global research partnership for a food secure future dedicated to reducing poverty, enhancing food and nutrition security, and improving natural resources</w:t>
      </w:r>
      <w:r w:rsidR="00543BFE">
        <w:rPr>
          <w:lang w:val="en-US"/>
        </w:rPr>
        <w:t xml:space="preserve"> (</w:t>
      </w:r>
      <w:hyperlink r:id="rId11" w:history="1">
        <w:r w:rsidR="00543BFE" w:rsidRPr="004028C0">
          <w:rPr>
            <w:rStyle w:val="Hyperlink"/>
            <w:lang w:val="en-US"/>
          </w:rPr>
          <w:t>www.cgiar.org</w:t>
        </w:r>
      </w:hyperlink>
      <w:r w:rsidR="00543BFE">
        <w:rPr>
          <w:lang w:val="en-US"/>
        </w:rPr>
        <w:t xml:space="preserve">). </w:t>
      </w:r>
      <w:r>
        <w:rPr>
          <w:lang w:val="en-US"/>
        </w:rPr>
        <w:t>The course introduces basic innovation and scaling concepts,</w:t>
      </w:r>
      <w:r w:rsidR="007C2045">
        <w:rPr>
          <w:lang w:val="en-US"/>
        </w:rPr>
        <w:t xml:space="preserve"> and</w:t>
      </w:r>
      <w:r>
        <w:rPr>
          <w:lang w:val="en-US"/>
        </w:rPr>
        <w:t xml:space="preserve"> applies these concepts to a real case study. The course has been designed for students, scientists</w:t>
      </w:r>
      <w:r w:rsidR="00394B32">
        <w:rPr>
          <w:lang w:val="en-US"/>
        </w:rPr>
        <w:t>,</w:t>
      </w:r>
      <w:r>
        <w:rPr>
          <w:lang w:val="en-US"/>
        </w:rPr>
        <w:t xml:space="preserve"> </w:t>
      </w:r>
      <w:r w:rsidR="003C1F34">
        <w:rPr>
          <w:lang w:val="en-US"/>
        </w:rPr>
        <w:t xml:space="preserve">development </w:t>
      </w:r>
      <w:r>
        <w:rPr>
          <w:lang w:val="en-US"/>
        </w:rPr>
        <w:t>experts, and research</w:t>
      </w:r>
      <w:r w:rsidR="007C2045">
        <w:rPr>
          <w:lang w:val="en-US"/>
        </w:rPr>
        <w:t>/</w:t>
      </w:r>
      <w:r>
        <w:rPr>
          <w:lang w:val="en-US"/>
        </w:rPr>
        <w:t xml:space="preserve"> innovation managers. Content is provided through short video snippets, reading materials and quizzes.</w:t>
      </w:r>
    </w:p>
    <w:p w14:paraId="1E2A683D" w14:textId="42E86358" w:rsidR="00296296" w:rsidRDefault="00296296" w:rsidP="00296296">
      <w:pPr>
        <w:rPr>
          <w:lang w:val="en-US"/>
        </w:rPr>
      </w:pPr>
      <w:r>
        <w:rPr>
          <w:lang w:val="en-US"/>
        </w:rPr>
        <w:t xml:space="preserve">The course approximately takes 3 hours, </w:t>
      </w:r>
      <w:r w:rsidR="007C2045">
        <w:rPr>
          <w:lang w:val="en-US"/>
        </w:rPr>
        <w:t xml:space="preserve">is free, </w:t>
      </w:r>
      <w:r>
        <w:rPr>
          <w:lang w:val="en-US"/>
        </w:rPr>
        <w:t xml:space="preserve">and those who successfully complete the course receive a certificate. The course can be directly accessed through: </w:t>
      </w:r>
      <w:hyperlink r:id="rId12" w:history="1">
        <w:r w:rsidRPr="004028C0">
          <w:rPr>
            <w:rStyle w:val="Hyperlink"/>
            <w:lang w:val="en-US"/>
          </w:rPr>
          <w:t>https://innovationandscaling.thinkific.com/courses/innovation-and-scaling</w:t>
        </w:r>
      </w:hyperlink>
      <w:r>
        <w:rPr>
          <w:lang w:val="en-US"/>
        </w:rPr>
        <w:t>.</w:t>
      </w:r>
    </w:p>
    <w:p w14:paraId="5194AB6C" w14:textId="3D736ED5" w:rsidR="00FC3AB2" w:rsidRDefault="00FC3AB2" w:rsidP="00296296">
      <w:pPr>
        <w:rPr>
          <w:lang w:val="en-US"/>
        </w:rPr>
      </w:pPr>
      <w:r>
        <w:rPr>
          <w:lang w:val="en-US"/>
        </w:rPr>
        <w:t xml:space="preserve">An animated video explaining the course in 2 minutes can be found here: </w:t>
      </w:r>
      <w:hyperlink r:id="rId13" w:history="1">
        <w:r w:rsidRPr="004028C0">
          <w:rPr>
            <w:rStyle w:val="Hyperlink"/>
            <w:lang w:val="en-US"/>
          </w:rPr>
          <w:t>https://www.scalingreadiness.org/courses/</w:t>
        </w:r>
      </w:hyperlink>
      <w:r>
        <w:rPr>
          <w:lang w:val="en-US"/>
        </w:rPr>
        <w:t xml:space="preserve">. </w:t>
      </w:r>
    </w:p>
    <w:p w14:paraId="4881C5D3" w14:textId="1F779CF3" w:rsidR="00296296" w:rsidRDefault="00296296" w:rsidP="00296296">
      <w:pPr>
        <w:rPr>
          <w:lang w:val="en-US"/>
        </w:rPr>
      </w:pPr>
      <w:r>
        <w:rPr>
          <w:lang w:val="en-US"/>
        </w:rPr>
        <w:t>Please contact Dr Marc Schut (</w:t>
      </w:r>
      <w:hyperlink r:id="rId14" w:history="1">
        <w:r w:rsidRPr="004028C0">
          <w:rPr>
            <w:rStyle w:val="Hyperlink"/>
            <w:lang w:val="en-US"/>
          </w:rPr>
          <w:t>m.schut@cgiar.org</w:t>
        </w:r>
      </w:hyperlink>
      <w:r>
        <w:rPr>
          <w:lang w:val="en-US"/>
        </w:rPr>
        <w:t xml:space="preserve">), </w:t>
      </w:r>
      <w:r w:rsidR="003C1F34">
        <w:rPr>
          <w:lang w:val="en-US"/>
        </w:rPr>
        <w:t xml:space="preserve">CGIAR and Wageningen University Innovation and Scaling </w:t>
      </w:r>
      <w:r>
        <w:rPr>
          <w:lang w:val="en-US"/>
        </w:rPr>
        <w:t>Advisor</w:t>
      </w:r>
      <w:r w:rsidR="003C1F34">
        <w:rPr>
          <w:lang w:val="en-US"/>
        </w:rPr>
        <w:t xml:space="preserve"> and Scientist for any questions or feedback.</w:t>
      </w:r>
    </w:p>
    <w:p w14:paraId="5FD41C9C" w14:textId="77777777" w:rsidR="00D66196" w:rsidRPr="00D66196" w:rsidRDefault="00D66196">
      <w:pPr>
        <w:rPr>
          <w:b/>
          <w:bCs/>
          <w:lang w:val="en-US"/>
        </w:rPr>
      </w:pPr>
    </w:p>
    <w:sectPr w:rsidR="00D66196" w:rsidRPr="00D66196">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B1165C" w14:textId="77777777" w:rsidR="005D1E17" w:rsidRDefault="005D1E17" w:rsidP="00142943">
      <w:r>
        <w:separator/>
      </w:r>
    </w:p>
  </w:endnote>
  <w:endnote w:type="continuationSeparator" w:id="0">
    <w:p w14:paraId="6BDEA3BA" w14:textId="77777777" w:rsidR="005D1E17" w:rsidRDefault="005D1E17" w:rsidP="001429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0EBB3" w14:textId="77777777" w:rsidR="00142943" w:rsidRDefault="001429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DF514" w14:textId="77777777" w:rsidR="00142943" w:rsidRDefault="0014294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620A6" w14:textId="77777777" w:rsidR="00142943" w:rsidRDefault="001429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62510E" w14:textId="77777777" w:rsidR="005D1E17" w:rsidRDefault="005D1E17" w:rsidP="00142943">
      <w:r>
        <w:separator/>
      </w:r>
    </w:p>
  </w:footnote>
  <w:footnote w:type="continuationSeparator" w:id="0">
    <w:p w14:paraId="71841E16" w14:textId="77777777" w:rsidR="005D1E17" w:rsidRDefault="005D1E17" w:rsidP="001429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AEA85" w14:textId="77777777" w:rsidR="00142943" w:rsidRDefault="001429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CADC0" w14:textId="4A562454" w:rsidR="00142943" w:rsidRPr="00142943" w:rsidRDefault="00142943">
    <w:pPr>
      <w:pStyle w:val="Header"/>
      <w:rPr>
        <w:lang w:val="en-US"/>
      </w:rPr>
    </w:pPr>
    <w:r>
      <w:rPr>
        <w:lang w:val="en-US"/>
      </w:rPr>
      <w:t>Johannes Linn</w:t>
    </w:r>
    <w:r>
      <w:rPr>
        <w:lang w:val="en-US"/>
      </w:rPr>
      <w:tab/>
    </w:r>
    <w:r>
      <w:rPr>
        <w:lang w:val="en-US"/>
      </w:rPr>
      <w:tab/>
      <w:t xml:space="preserve">2 April </w:t>
    </w:r>
    <w:r>
      <w:rPr>
        <w:lang w:val="en-US"/>
      </w:rPr>
      <w:t>2021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172F9" w14:textId="77777777" w:rsidR="00142943" w:rsidRDefault="001429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B01A2"/>
    <w:multiLevelType w:val="hybridMultilevel"/>
    <w:tmpl w:val="98FC8C9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34BF3B3D"/>
    <w:multiLevelType w:val="hybridMultilevel"/>
    <w:tmpl w:val="A7B2E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4105FEF"/>
    <w:multiLevelType w:val="hybridMultilevel"/>
    <w:tmpl w:val="23445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80474FC"/>
    <w:multiLevelType w:val="hybridMultilevel"/>
    <w:tmpl w:val="843C6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E44484D"/>
    <w:multiLevelType w:val="hybridMultilevel"/>
    <w:tmpl w:val="FF0E721C"/>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196"/>
    <w:rsid w:val="0000405B"/>
    <w:rsid w:val="00025D61"/>
    <w:rsid w:val="000468CB"/>
    <w:rsid w:val="00051150"/>
    <w:rsid w:val="00063E08"/>
    <w:rsid w:val="000E655C"/>
    <w:rsid w:val="000E6A96"/>
    <w:rsid w:val="000E7920"/>
    <w:rsid w:val="000F621E"/>
    <w:rsid w:val="0010063D"/>
    <w:rsid w:val="0010084C"/>
    <w:rsid w:val="00107A8D"/>
    <w:rsid w:val="001152B4"/>
    <w:rsid w:val="001246BD"/>
    <w:rsid w:val="00142943"/>
    <w:rsid w:val="00142C49"/>
    <w:rsid w:val="0014368A"/>
    <w:rsid w:val="00161069"/>
    <w:rsid w:val="00166508"/>
    <w:rsid w:val="001749E0"/>
    <w:rsid w:val="00185BE9"/>
    <w:rsid w:val="001A2705"/>
    <w:rsid w:val="001C3884"/>
    <w:rsid w:val="001F62C6"/>
    <w:rsid w:val="0022287C"/>
    <w:rsid w:val="00240A7A"/>
    <w:rsid w:val="00240FB8"/>
    <w:rsid w:val="002503B4"/>
    <w:rsid w:val="00296296"/>
    <w:rsid w:val="002A006B"/>
    <w:rsid w:val="002B3FD7"/>
    <w:rsid w:val="002B48DE"/>
    <w:rsid w:val="002D1BB0"/>
    <w:rsid w:val="002E79AA"/>
    <w:rsid w:val="00305D95"/>
    <w:rsid w:val="0033590B"/>
    <w:rsid w:val="003369DE"/>
    <w:rsid w:val="00394B32"/>
    <w:rsid w:val="003A74E0"/>
    <w:rsid w:val="003B6EF9"/>
    <w:rsid w:val="003C1F34"/>
    <w:rsid w:val="003D7A4A"/>
    <w:rsid w:val="003F227D"/>
    <w:rsid w:val="00417DFE"/>
    <w:rsid w:val="00423808"/>
    <w:rsid w:val="00441C6E"/>
    <w:rsid w:val="00441FF0"/>
    <w:rsid w:val="00447119"/>
    <w:rsid w:val="004910FF"/>
    <w:rsid w:val="004D220E"/>
    <w:rsid w:val="004D48BD"/>
    <w:rsid w:val="004E76F4"/>
    <w:rsid w:val="00507ADB"/>
    <w:rsid w:val="00543BFE"/>
    <w:rsid w:val="00595772"/>
    <w:rsid w:val="005B5E0C"/>
    <w:rsid w:val="005D0AB8"/>
    <w:rsid w:val="005D1E17"/>
    <w:rsid w:val="005E37C0"/>
    <w:rsid w:val="005F6E1E"/>
    <w:rsid w:val="006218FF"/>
    <w:rsid w:val="0064762B"/>
    <w:rsid w:val="00687951"/>
    <w:rsid w:val="006A15EB"/>
    <w:rsid w:val="00782C4A"/>
    <w:rsid w:val="007B0723"/>
    <w:rsid w:val="007B1654"/>
    <w:rsid w:val="007C2045"/>
    <w:rsid w:val="007D01F0"/>
    <w:rsid w:val="007E4ECF"/>
    <w:rsid w:val="007F322F"/>
    <w:rsid w:val="008033B8"/>
    <w:rsid w:val="00827B22"/>
    <w:rsid w:val="008C1EA6"/>
    <w:rsid w:val="008C2412"/>
    <w:rsid w:val="00904DF1"/>
    <w:rsid w:val="00926373"/>
    <w:rsid w:val="00943BE9"/>
    <w:rsid w:val="009B7367"/>
    <w:rsid w:val="009C6670"/>
    <w:rsid w:val="009D5D4D"/>
    <w:rsid w:val="009F202C"/>
    <w:rsid w:val="00A33CA0"/>
    <w:rsid w:val="00A33D63"/>
    <w:rsid w:val="00A40436"/>
    <w:rsid w:val="00A51334"/>
    <w:rsid w:val="00A521E5"/>
    <w:rsid w:val="00A97D2F"/>
    <w:rsid w:val="00AA06E6"/>
    <w:rsid w:val="00AF091A"/>
    <w:rsid w:val="00AF42BC"/>
    <w:rsid w:val="00B30627"/>
    <w:rsid w:val="00B62E55"/>
    <w:rsid w:val="00B65072"/>
    <w:rsid w:val="00B66661"/>
    <w:rsid w:val="00B854E6"/>
    <w:rsid w:val="00B94767"/>
    <w:rsid w:val="00B961FB"/>
    <w:rsid w:val="00BA0670"/>
    <w:rsid w:val="00BC5BD3"/>
    <w:rsid w:val="00BE6F53"/>
    <w:rsid w:val="00C14334"/>
    <w:rsid w:val="00C157A2"/>
    <w:rsid w:val="00C15F4F"/>
    <w:rsid w:val="00C90684"/>
    <w:rsid w:val="00CA54F6"/>
    <w:rsid w:val="00CC59E5"/>
    <w:rsid w:val="00CF187A"/>
    <w:rsid w:val="00D079B9"/>
    <w:rsid w:val="00D179E8"/>
    <w:rsid w:val="00D25678"/>
    <w:rsid w:val="00D47C40"/>
    <w:rsid w:val="00D51FB5"/>
    <w:rsid w:val="00D5746F"/>
    <w:rsid w:val="00D66196"/>
    <w:rsid w:val="00D95F90"/>
    <w:rsid w:val="00DB40AA"/>
    <w:rsid w:val="00DB7E19"/>
    <w:rsid w:val="00DC749C"/>
    <w:rsid w:val="00DF4F95"/>
    <w:rsid w:val="00E26CD6"/>
    <w:rsid w:val="00E340F3"/>
    <w:rsid w:val="00E4448F"/>
    <w:rsid w:val="00E6205F"/>
    <w:rsid w:val="00E63B4F"/>
    <w:rsid w:val="00EA5067"/>
    <w:rsid w:val="00EC0613"/>
    <w:rsid w:val="00EF321A"/>
    <w:rsid w:val="00F033C0"/>
    <w:rsid w:val="00F12550"/>
    <w:rsid w:val="00F40B0C"/>
    <w:rsid w:val="00F6482E"/>
    <w:rsid w:val="00F7015C"/>
    <w:rsid w:val="00F76EEF"/>
    <w:rsid w:val="00F862B6"/>
    <w:rsid w:val="00F9090C"/>
    <w:rsid w:val="00FA17E6"/>
    <w:rsid w:val="00FC3AB2"/>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decimalSymbol w:val="."/>
  <w:listSeparator w:val=","/>
  <w14:docId w14:val="04501A7F"/>
  <w15:chartTrackingRefBased/>
  <w15:docId w15:val="{AEDB5D14-7BFA-854B-A1ED-B9C977CC6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25678"/>
    <w:pPr>
      <w:keepNext/>
      <w:keepLines/>
      <w:spacing w:before="240"/>
      <w:outlineLvl w:val="0"/>
    </w:pPr>
    <w:rPr>
      <w:rFonts w:asciiTheme="majorHAnsi" w:eastAsiaTheme="majorEastAsia" w:hAnsiTheme="majorHAnsi" w:cstheme="majorBidi"/>
      <w:color w:val="2F5496" w:themeColor="accent1" w:themeShade="BF"/>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6196"/>
    <w:rPr>
      <w:color w:val="0563C1" w:themeColor="hyperlink"/>
      <w:u w:val="single"/>
    </w:rPr>
  </w:style>
  <w:style w:type="character" w:styleId="UnresolvedMention">
    <w:name w:val="Unresolved Mention"/>
    <w:basedOn w:val="DefaultParagraphFont"/>
    <w:uiPriority w:val="99"/>
    <w:semiHidden/>
    <w:unhideWhenUsed/>
    <w:rsid w:val="00D66196"/>
    <w:rPr>
      <w:color w:val="605E5C"/>
      <w:shd w:val="clear" w:color="auto" w:fill="E1DFDD"/>
    </w:rPr>
  </w:style>
  <w:style w:type="paragraph" w:styleId="ListParagraph">
    <w:name w:val="List Paragraph"/>
    <w:basedOn w:val="Normal"/>
    <w:uiPriority w:val="34"/>
    <w:qFormat/>
    <w:rsid w:val="00BE6F53"/>
    <w:pPr>
      <w:ind w:left="720"/>
      <w:contextualSpacing/>
    </w:pPr>
  </w:style>
  <w:style w:type="character" w:styleId="FollowedHyperlink">
    <w:name w:val="FollowedHyperlink"/>
    <w:basedOn w:val="DefaultParagraphFont"/>
    <w:uiPriority w:val="99"/>
    <w:semiHidden/>
    <w:unhideWhenUsed/>
    <w:rsid w:val="003C1F34"/>
    <w:rPr>
      <w:color w:val="954F72" w:themeColor="followedHyperlink"/>
      <w:u w:val="single"/>
    </w:rPr>
  </w:style>
  <w:style w:type="character" w:styleId="CommentReference">
    <w:name w:val="annotation reference"/>
    <w:basedOn w:val="DefaultParagraphFont"/>
    <w:uiPriority w:val="99"/>
    <w:semiHidden/>
    <w:unhideWhenUsed/>
    <w:rsid w:val="00C15F4F"/>
    <w:rPr>
      <w:sz w:val="16"/>
      <w:szCs w:val="16"/>
    </w:rPr>
  </w:style>
  <w:style w:type="paragraph" w:styleId="CommentText">
    <w:name w:val="annotation text"/>
    <w:basedOn w:val="Normal"/>
    <w:link w:val="CommentTextChar"/>
    <w:uiPriority w:val="99"/>
    <w:semiHidden/>
    <w:unhideWhenUsed/>
    <w:rsid w:val="00C15F4F"/>
    <w:rPr>
      <w:sz w:val="20"/>
      <w:szCs w:val="20"/>
    </w:rPr>
  </w:style>
  <w:style w:type="character" w:customStyle="1" w:styleId="CommentTextChar">
    <w:name w:val="Comment Text Char"/>
    <w:basedOn w:val="DefaultParagraphFont"/>
    <w:link w:val="CommentText"/>
    <w:uiPriority w:val="99"/>
    <w:semiHidden/>
    <w:rsid w:val="00C15F4F"/>
    <w:rPr>
      <w:sz w:val="20"/>
      <w:szCs w:val="20"/>
    </w:rPr>
  </w:style>
  <w:style w:type="paragraph" w:styleId="CommentSubject">
    <w:name w:val="annotation subject"/>
    <w:basedOn w:val="CommentText"/>
    <w:next w:val="CommentText"/>
    <w:link w:val="CommentSubjectChar"/>
    <w:uiPriority w:val="99"/>
    <w:semiHidden/>
    <w:unhideWhenUsed/>
    <w:rsid w:val="00C15F4F"/>
    <w:rPr>
      <w:b/>
      <w:bCs/>
    </w:rPr>
  </w:style>
  <w:style w:type="character" w:customStyle="1" w:styleId="CommentSubjectChar">
    <w:name w:val="Comment Subject Char"/>
    <w:basedOn w:val="CommentTextChar"/>
    <w:link w:val="CommentSubject"/>
    <w:uiPriority w:val="99"/>
    <w:semiHidden/>
    <w:rsid w:val="00C15F4F"/>
    <w:rPr>
      <w:b/>
      <w:bCs/>
      <w:sz w:val="20"/>
      <w:szCs w:val="20"/>
    </w:rPr>
  </w:style>
  <w:style w:type="character" w:customStyle="1" w:styleId="Heading1Char">
    <w:name w:val="Heading 1 Char"/>
    <w:basedOn w:val="DefaultParagraphFont"/>
    <w:link w:val="Heading1"/>
    <w:uiPriority w:val="9"/>
    <w:rsid w:val="00D25678"/>
    <w:rPr>
      <w:rFonts w:asciiTheme="majorHAnsi" w:eastAsiaTheme="majorEastAsia" w:hAnsiTheme="majorHAnsi" w:cstheme="majorBidi"/>
      <w:color w:val="2F5496" w:themeColor="accent1" w:themeShade="BF"/>
      <w:sz w:val="32"/>
      <w:szCs w:val="32"/>
      <w:lang w:val="en-US"/>
    </w:rPr>
  </w:style>
  <w:style w:type="character" w:styleId="Strong">
    <w:name w:val="Strong"/>
    <w:basedOn w:val="DefaultParagraphFont"/>
    <w:uiPriority w:val="22"/>
    <w:qFormat/>
    <w:rsid w:val="00D25678"/>
    <w:rPr>
      <w:b/>
      <w:bCs/>
    </w:rPr>
  </w:style>
  <w:style w:type="paragraph" w:styleId="Header">
    <w:name w:val="header"/>
    <w:basedOn w:val="Normal"/>
    <w:link w:val="HeaderChar"/>
    <w:uiPriority w:val="99"/>
    <w:unhideWhenUsed/>
    <w:rsid w:val="00142943"/>
    <w:pPr>
      <w:tabs>
        <w:tab w:val="center" w:pos="4680"/>
        <w:tab w:val="right" w:pos="9360"/>
      </w:tabs>
    </w:pPr>
  </w:style>
  <w:style w:type="character" w:customStyle="1" w:styleId="HeaderChar">
    <w:name w:val="Header Char"/>
    <w:basedOn w:val="DefaultParagraphFont"/>
    <w:link w:val="Header"/>
    <w:uiPriority w:val="99"/>
    <w:rsid w:val="00142943"/>
  </w:style>
  <w:style w:type="paragraph" w:styleId="Footer">
    <w:name w:val="footer"/>
    <w:basedOn w:val="Normal"/>
    <w:link w:val="FooterChar"/>
    <w:uiPriority w:val="99"/>
    <w:unhideWhenUsed/>
    <w:rsid w:val="00142943"/>
    <w:pPr>
      <w:tabs>
        <w:tab w:val="center" w:pos="4680"/>
        <w:tab w:val="right" w:pos="9360"/>
      </w:tabs>
    </w:pPr>
  </w:style>
  <w:style w:type="character" w:customStyle="1" w:styleId="FooterChar">
    <w:name w:val="Footer Char"/>
    <w:basedOn w:val="DefaultParagraphFont"/>
    <w:link w:val="Footer"/>
    <w:uiPriority w:val="99"/>
    <w:rsid w:val="001429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916054">
      <w:bodyDiv w:val="1"/>
      <w:marLeft w:val="0"/>
      <w:marRight w:val="0"/>
      <w:marTop w:val="0"/>
      <w:marBottom w:val="0"/>
      <w:divBdr>
        <w:top w:val="none" w:sz="0" w:space="0" w:color="auto"/>
        <w:left w:val="none" w:sz="0" w:space="0" w:color="auto"/>
        <w:bottom w:val="none" w:sz="0" w:space="0" w:color="auto"/>
        <w:right w:val="none" w:sz="0" w:space="0" w:color="auto"/>
      </w:divBdr>
    </w:div>
    <w:div w:id="278419566">
      <w:bodyDiv w:val="1"/>
      <w:marLeft w:val="0"/>
      <w:marRight w:val="0"/>
      <w:marTop w:val="0"/>
      <w:marBottom w:val="0"/>
      <w:divBdr>
        <w:top w:val="none" w:sz="0" w:space="0" w:color="auto"/>
        <w:left w:val="none" w:sz="0" w:space="0" w:color="auto"/>
        <w:bottom w:val="none" w:sz="0" w:space="0" w:color="auto"/>
        <w:right w:val="none" w:sz="0" w:space="0" w:color="auto"/>
      </w:divBdr>
    </w:div>
    <w:div w:id="943879546">
      <w:bodyDiv w:val="1"/>
      <w:marLeft w:val="0"/>
      <w:marRight w:val="0"/>
      <w:marTop w:val="0"/>
      <w:marBottom w:val="0"/>
      <w:divBdr>
        <w:top w:val="none" w:sz="0" w:space="0" w:color="auto"/>
        <w:left w:val="none" w:sz="0" w:space="0" w:color="auto"/>
        <w:bottom w:val="none" w:sz="0" w:space="0" w:color="auto"/>
        <w:right w:val="none" w:sz="0" w:space="0" w:color="auto"/>
      </w:divBdr>
    </w:div>
    <w:div w:id="1217398321">
      <w:bodyDiv w:val="1"/>
      <w:marLeft w:val="0"/>
      <w:marRight w:val="0"/>
      <w:marTop w:val="0"/>
      <w:marBottom w:val="0"/>
      <w:divBdr>
        <w:top w:val="none" w:sz="0" w:space="0" w:color="auto"/>
        <w:left w:val="none" w:sz="0" w:space="0" w:color="auto"/>
        <w:bottom w:val="none" w:sz="0" w:space="0" w:color="auto"/>
        <w:right w:val="none" w:sz="0" w:space="0" w:color="auto"/>
      </w:divBdr>
    </w:div>
    <w:div w:id="1566603772">
      <w:bodyDiv w:val="1"/>
      <w:marLeft w:val="0"/>
      <w:marRight w:val="0"/>
      <w:marTop w:val="0"/>
      <w:marBottom w:val="0"/>
      <w:divBdr>
        <w:top w:val="none" w:sz="0" w:space="0" w:color="auto"/>
        <w:left w:val="none" w:sz="0" w:space="0" w:color="auto"/>
        <w:bottom w:val="none" w:sz="0" w:space="0" w:color="auto"/>
        <w:right w:val="none" w:sz="0" w:space="0" w:color="auto"/>
      </w:divBdr>
    </w:div>
    <w:div w:id="1568029653">
      <w:bodyDiv w:val="1"/>
      <w:marLeft w:val="0"/>
      <w:marRight w:val="0"/>
      <w:marTop w:val="0"/>
      <w:marBottom w:val="0"/>
      <w:divBdr>
        <w:top w:val="none" w:sz="0" w:space="0" w:color="auto"/>
        <w:left w:val="none" w:sz="0" w:space="0" w:color="auto"/>
        <w:bottom w:val="none" w:sz="0" w:space="0" w:color="auto"/>
        <w:right w:val="none" w:sz="0" w:space="0" w:color="auto"/>
      </w:divBdr>
    </w:div>
    <w:div w:id="1894345652">
      <w:bodyDiv w:val="1"/>
      <w:marLeft w:val="0"/>
      <w:marRight w:val="0"/>
      <w:marTop w:val="0"/>
      <w:marBottom w:val="0"/>
      <w:divBdr>
        <w:top w:val="none" w:sz="0" w:space="0" w:color="auto"/>
        <w:left w:val="none" w:sz="0" w:space="0" w:color="auto"/>
        <w:bottom w:val="none" w:sz="0" w:space="0" w:color="auto"/>
        <w:right w:val="none" w:sz="0" w:space="0" w:color="auto"/>
      </w:divBdr>
    </w:div>
    <w:div w:id="2067488302">
      <w:bodyDiv w:val="1"/>
      <w:marLeft w:val="0"/>
      <w:marRight w:val="0"/>
      <w:marTop w:val="0"/>
      <w:marBottom w:val="0"/>
      <w:divBdr>
        <w:top w:val="none" w:sz="0" w:space="0" w:color="auto"/>
        <w:left w:val="none" w:sz="0" w:space="0" w:color="auto"/>
        <w:bottom w:val="none" w:sz="0" w:space="0" w:color="auto"/>
        <w:right w:val="none" w:sz="0" w:space="0" w:color="auto"/>
      </w:divBdr>
    </w:div>
    <w:div w:id="2103337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pository.cimmyt.org/handle/10883/21507" TargetMode="External"/><Relationship Id="rId13" Type="http://schemas.openxmlformats.org/officeDocument/2006/relationships/hyperlink" Target="https://www.scalingreadiness.org/courses/"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expandnet.net/tools/" TargetMode="External"/><Relationship Id="rId12" Type="http://schemas.openxmlformats.org/officeDocument/2006/relationships/hyperlink" Target="https://innovationandscaling.thinkific.com/courses/innovation-and-scaling"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giar.org"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autopapers.ssrn.com/sol3/papers.cfm?abstract_id=3957339"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www.msiworldwide.com/sites/default/files/additional-resources/2021-05/ScalingUp_toolkit_2021_v5_0.pdf" TargetMode="External"/><Relationship Id="rId14" Type="http://schemas.openxmlformats.org/officeDocument/2006/relationships/hyperlink" Target="mailto:m.schut@cgiar.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1047</Words>
  <Characters>5971</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Schut, Marc (CGIAR System Organisation)</dc:creator>
  <cp:keywords/>
  <dc:description/>
  <cp:lastModifiedBy>Johannes Linn</cp:lastModifiedBy>
  <cp:revision>3</cp:revision>
  <dcterms:created xsi:type="dcterms:W3CDTF">2022-04-02T14:30:00Z</dcterms:created>
  <dcterms:modified xsi:type="dcterms:W3CDTF">2022-04-02T14:31:00Z</dcterms:modified>
</cp:coreProperties>
</file>