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8B9AC" w14:textId="23A2ACF6" w:rsidR="00CE5304" w:rsidRDefault="00CE5304" w:rsidP="00CE5304">
      <w:pPr>
        <w:autoSpaceDE w:val="0"/>
        <w:autoSpaceDN w:val="0"/>
        <w:adjustRightInd w:val="0"/>
        <w:jc w:val="center"/>
        <w:rPr>
          <w:rFonts w:ascii="Calibri" w:hAnsi="Calibri" w:cs="Calibri"/>
          <w:b/>
          <w:bCs/>
          <w:sz w:val="28"/>
          <w:szCs w:val="28"/>
        </w:rPr>
      </w:pPr>
    </w:p>
    <w:p w14:paraId="13A18046" w14:textId="77777777" w:rsidR="00167C68" w:rsidRDefault="00167C68" w:rsidP="00D869D5">
      <w:pPr>
        <w:autoSpaceDE w:val="0"/>
        <w:autoSpaceDN w:val="0"/>
        <w:adjustRightInd w:val="0"/>
        <w:rPr>
          <w:rFonts w:ascii="Calibri" w:hAnsi="Calibri" w:cs="Calibri"/>
          <w:b/>
          <w:bCs/>
          <w:sz w:val="28"/>
          <w:szCs w:val="28"/>
        </w:rPr>
      </w:pPr>
    </w:p>
    <w:p w14:paraId="5277AD50" w14:textId="66D1A485" w:rsidR="00CE5304" w:rsidRPr="00AB6586" w:rsidRDefault="00CE5304" w:rsidP="00CE5304">
      <w:pPr>
        <w:autoSpaceDE w:val="0"/>
        <w:autoSpaceDN w:val="0"/>
        <w:adjustRightInd w:val="0"/>
        <w:jc w:val="center"/>
        <w:rPr>
          <w:rFonts w:ascii="Calibri" w:hAnsi="Calibri" w:cs="Calibri"/>
          <w:b/>
          <w:bCs/>
          <w:sz w:val="28"/>
          <w:szCs w:val="28"/>
        </w:rPr>
      </w:pPr>
      <w:r w:rsidRPr="00AB6586">
        <w:rPr>
          <w:rFonts w:ascii="Calibri" w:hAnsi="Calibri" w:cs="Calibri"/>
          <w:b/>
          <w:bCs/>
          <w:sz w:val="28"/>
          <w:szCs w:val="28"/>
        </w:rPr>
        <w:t>Scope of Work</w:t>
      </w:r>
    </w:p>
    <w:p w14:paraId="5440A7E2" w14:textId="4928378A" w:rsidR="00CE5304" w:rsidRDefault="00CE5304" w:rsidP="00CE5304">
      <w:pPr>
        <w:autoSpaceDE w:val="0"/>
        <w:autoSpaceDN w:val="0"/>
        <w:adjustRightInd w:val="0"/>
        <w:jc w:val="both"/>
        <w:rPr>
          <w:rFonts w:ascii="Calibri" w:hAnsi="Calibri" w:cs="Calibri"/>
          <w:b/>
          <w:bCs/>
        </w:rPr>
      </w:pPr>
      <w:r>
        <w:rPr>
          <w:rFonts w:ascii="Calibri" w:hAnsi="Calibri" w:cs="Calibri"/>
          <w:b/>
          <w:bCs/>
        </w:rPr>
        <w:t xml:space="preserve"> </w:t>
      </w:r>
    </w:p>
    <w:p w14:paraId="4F75706D" w14:textId="3C91F8C4" w:rsidR="00CE5304" w:rsidRPr="00355553" w:rsidRDefault="00CE5304" w:rsidP="00CE5304">
      <w:pPr>
        <w:tabs>
          <w:tab w:val="left" w:pos="2268"/>
        </w:tabs>
        <w:autoSpaceDE w:val="0"/>
        <w:autoSpaceDN w:val="0"/>
        <w:adjustRightInd w:val="0"/>
        <w:ind w:left="2880" w:hanging="2880"/>
        <w:jc w:val="both"/>
        <w:rPr>
          <w:rFonts w:ascii="Calibri" w:hAnsi="Calibri" w:cs="Calibri"/>
          <w:b/>
          <w:bCs/>
        </w:rPr>
      </w:pPr>
      <w:r>
        <w:rPr>
          <w:rFonts w:cstheme="minorHAnsi"/>
          <w:b/>
        </w:rPr>
        <w:t xml:space="preserve">Consultant:  </w:t>
      </w:r>
      <w:r>
        <w:rPr>
          <w:rFonts w:cstheme="minorHAnsi"/>
          <w:b/>
        </w:rPr>
        <w:tab/>
      </w:r>
    </w:p>
    <w:p w14:paraId="6766F1F1" w14:textId="312D8D9E" w:rsidR="00CE5304" w:rsidRPr="00355553" w:rsidRDefault="00CE5304" w:rsidP="00CE5304">
      <w:pPr>
        <w:tabs>
          <w:tab w:val="left" w:pos="2268"/>
        </w:tabs>
        <w:autoSpaceDE w:val="0"/>
        <w:autoSpaceDN w:val="0"/>
        <w:adjustRightInd w:val="0"/>
        <w:ind w:left="2880" w:hanging="2880"/>
        <w:jc w:val="both"/>
        <w:rPr>
          <w:rFonts w:ascii="Calibri" w:hAnsi="Calibri" w:cs="Calibri"/>
        </w:rPr>
      </w:pPr>
      <w:r w:rsidRPr="00355553">
        <w:rPr>
          <w:rFonts w:ascii="Calibri" w:hAnsi="Calibri" w:cs="Calibri"/>
          <w:b/>
          <w:bCs/>
        </w:rPr>
        <w:t>Consultancy Title:</w:t>
      </w:r>
      <w:r>
        <w:rPr>
          <w:rFonts w:ascii="Calibri" w:hAnsi="Calibri" w:cs="Calibri"/>
          <w:b/>
          <w:bCs/>
        </w:rPr>
        <w:tab/>
      </w:r>
      <w:r>
        <w:rPr>
          <w:rFonts w:ascii="Calibri" w:hAnsi="Calibri" w:cs="Calibri"/>
        </w:rPr>
        <w:t>Understanding and undertaking scale in CTWWC</w:t>
      </w:r>
    </w:p>
    <w:p w14:paraId="735C9D6A" w14:textId="1A2B8146" w:rsidR="00CE5304" w:rsidRPr="00355553" w:rsidRDefault="00CE5304" w:rsidP="00CE5304">
      <w:pPr>
        <w:tabs>
          <w:tab w:val="left" w:pos="2268"/>
        </w:tabs>
        <w:autoSpaceDE w:val="0"/>
        <w:autoSpaceDN w:val="0"/>
        <w:adjustRightInd w:val="0"/>
        <w:ind w:left="2268" w:hanging="2268"/>
        <w:jc w:val="both"/>
        <w:rPr>
          <w:rFonts w:ascii="Calibri" w:hAnsi="Calibri" w:cs="Calibri"/>
        </w:rPr>
      </w:pPr>
      <w:r w:rsidRPr="00355553">
        <w:rPr>
          <w:rFonts w:ascii="Calibri" w:hAnsi="Calibri" w:cs="Calibri"/>
          <w:b/>
          <w:bCs/>
        </w:rPr>
        <w:t>Location:</w:t>
      </w:r>
      <w:r w:rsidRPr="00355553">
        <w:rPr>
          <w:rFonts w:ascii="Calibri" w:hAnsi="Calibri" w:cs="Calibri"/>
        </w:rPr>
        <w:t xml:space="preserve"> </w:t>
      </w:r>
      <w:r>
        <w:rPr>
          <w:rFonts w:ascii="Calibri" w:hAnsi="Calibri" w:cs="Calibri"/>
        </w:rPr>
        <w:tab/>
      </w:r>
      <w:r w:rsidRPr="00355553">
        <w:rPr>
          <w:rFonts w:ascii="Calibri" w:hAnsi="Calibri" w:cs="Calibri"/>
        </w:rPr>
        <w:t xml:space="preserve">Global, home-based with </w:t>
      </w:r>
      <w:r w:rsidR="000C331B">
        <w:rPr>
          <w:rFonts w:ascii="Calibri" w:hAnsi="Calibri" w:cs="Calibri"/>
        </w:rPr>
        <w:t xml:space="preserve">possible international </w:t>
      </w:r>
      <w:r w:rsidRPr="00355553">
        <w:rPr>
          <w:rFonts w:ascii="Calibri" w:hAnsi="Calibri" w:cs="Calibri"/>
        </w:rPr>
        <w:t>travel</w:t>
      </w:r>
    </w:p>
    <w:p w14:paraId="430FD6CE" w14:textId="7FA036D3" w:rsidR="00CE5304" w:rsidRPr="00355553" w:rsidRDefault="00CE5304" w:rsidP="00CE5304">
      <w:pPr>
        <w:tabs>
          <w:tab w:val="left" w:pos="2268"/>
        </w:tabs>
        <w:autoSpaceDE w:val="0"/>
        <w:autoSpaceDN w:val="0"/>
        <w:adjustRightInd w:val="0"/>
        <w:jc w:val="both"/>
        <w:rPr>
          <w:rFonts w:ascii="Calibri" w:hAnsi="Calibri" w:cs="Calibri"/>
        </w:rPr>
      </w:pPr>
      <w:r w:rsidRPr="00355553">
        <w:rPr>
          <w:rFonts w:ascii="Calibri" w:hAnsi="Calibri" w:cs="Calibri"/>
          <w:b/>
          <w:bCs/>
        </w:rPr>
        <w:t xml:space="preserve">Duration:   </w:t>
      </w:r>
      <w:r>
        <w:rPr>
          <w:rFonts w:ascii="Calibri" w:hAnsi="Calibri" w:cs="Calibri"/>
          <w:b/>
          <w:bCs/>
        </w:rPr>
        <w:tab/>
      </w:r>
      <w:r w:rsidR="00E33061">
        <w:rPr>
          <w:rFonts w:ascii="Calibri" w:hAnsi="Calibri" w:cs="Calibri"/>
          <w:b/>
          <w:bCs/>
        </w:rPr>
        <w:t xml:space="preserve">May – </w:t>
      </w:r>
      <w:r w:rsidR="00272376">
        <w:rPr>
          <w:rFonts w:ascii="Calibri" w:hAnsi="Calibri" w:cs="Calibri"/>
          <w:b/>
          <w:bCs/>
        </w:rPr>
        <w:t>September</w:t>
      </w:r>
      <w:r w:rsidR="00E33061">
        <w:rPr>
          <w:rFonts w:ascii="Calibri" w:hAnsi="Calibri" w:cs="Calibri"/>
          <w:b/>
          <w:bCs/>
        </w:rPr>
        <w:t xml:space="preserve"> 2021 </w:t>
      </w:r>
      <w:r w:rsidRPr="00355553">
        <w:rPr>
          <w:rFonts w:ascii="Calibri" w:hAnsi="Calibri" w:cs="Calibri"/>
        </w:rPr>
        <w:t xml:space="preserve"> </w:t>
      </w:r>
    </w:p>
    <w:p w14:paraId="51B07ADF" w14:textId="233F4BED" w:rsidR="00CE5304" w:rsidRPr="00355553" w:rsidRDefault="00CE5304" w:rsidP="00CE5304">
      <w:pPr>
        <w:tabs>
          <w:tab w:val="left" w:pos="2268"/>
        </w:tabs>
        <w:autoSpaceDE w:val="0"/>
        <w:autoSpaceDN w:val="0"/>
        <w:adjustRightInd w:val="0"/>
        <w:jc w:val="both"/>
        <w:rPr>
          <w:rFonts w:ascii="Calibri" w:hAnsi="Calibri" w:cs="Calibri"/>
          <w:b/>
        </w:rPr>
      </w:pPr>
      <w:r w:rsidRPr="00355553">
        <w:rPr>
          <w:rFonts w:ascii="Calibri" w:hAnsi="Calibri" w:cs="Calibri"/>
          <w:b/>
        </w:rPr>
        <w:t xml:space="preserve">Reporting to:  </w:t>
      </w:r>
      <w:r>
        <w:rPr>
          <w:rFonts w:ascii="Calibri" w:hAnsi="Calibri" w:cs="Calibri"/>
          <w:b/>
        </w:rPr>
        <w:tab/>
      </w:r>
      <w:r w:rsidR="00E33061">
        <w:rPr>
          <w:rFonts w:ascii="Calibri" w:hAnsi="Calibri" w:cs="Calibri"/>
          <w:b/>
        </w:rPr>
        <w:t>Beth Bradford, Technical Director CTWWC</w:t>
      </w:r>
    </w:p>
    <w:p w14:paraId="7A669546" w14:textId="51C8B02A" w:rsidR="00CE5304" w:rsidRPr="00873032" w:rsidRDefault="00CE5304" w:rsidP="00CE5304">
      <w:pPr>
        <w:tabs>
          <w:tab w:val="left" w:pos="2268"/>
        </w:tabs>
        <w:autoSpaceDE w:val="0"/>
        <w:autoSpaceDN w:val="0"/>
        <w:adjustRightInd w:val="0"/>
        <w:ind w:left="2880" w:hanging="2880"/>
        <w:jc w:val="both"/>
        <w:rPr>
          <w:rFonts w:ascii="Calibri" w:hAnsi="Calibri" w:cs="Calibri"/>
          <w:b/>
        </w:rPr>
      </w:pPr>
      <w:r w:rsidRPr="00355553">
        <w:rPr>
          <w:rFonts w:ascii="Calibri" w:hAnsi="Calibri" w:cs="Calibri"/>
          <w:b/>
          <w:bCs/>
        </w:rPr>
        <w:t xml:space="preserve">Number of days: </w:t>
      </w:r>
      <w:r w:rsidRPr="00355553">
        <w:rPr>
          <w:rFonts w:ascii="Calibri" w:hAnsi="Calibri" w:cs="Calibri"/>
        </w:rPr>
        <w:t xml:space="preserve"> </w:t>
      </w:r>
      <w:r>
        <w:rPr>
          <w:rFonts w:ascii="Calibri" w:hAnsi="Calibri" w:cs="Calibri"/>
        </w:rPr>
        <w:tab/>
      </w:r>
      <w:r w:rsidR="00E33061">
        <w:rPr>
          <w:rFonts w:ascii="Calibri" w:hAnsi="Calibri" w:cs="Calibri"/>
        </w:rPr>
        <w:t xml:space="preserve">40 days </w:t>
      </w:r>
      <w:r>
        <w:rPr>
          <w:rFonts w:ascii="Calibri" w:hAnsi="Calibri" w:cs="Calibri"/>
        </w:rPr>
        <w:t xml:space="preserve"> </w:t>
      </w:r>
    </w:p>
    <w:p w14:paraId="35771EE7" w14:textId="4444C7A7" w:rsidR="00CE5304" w:rsidRDefault="00CE5304" w:rsidP="00CE5304">
      <w:pPr>
        <w:tabs>
          <w:tab w:val="left" w:pos="2268"/>
        </w:tabs>
        <w:autoSpaceDE w:val="0"/>
        <w:autoSpaceDN w:val="0"/>
        <w:adjustRightInd w:val="0"/>
        <w:ind w:left="2880" w:hanging="2880"/>
        <w:rPr>
          <w:rFonts w:ascii="Calibri" w:hAnsi="Calibri" w:cs="Calibri"/>
        </w:rPr>
      </w:pPr>
      <w:r>
        <w:rPr>
          <w:rFonts w:ascii="Calibri" w:hAnsi="Calibri" w:cs="Calibri"/>
          <w:b/>
          <w:bCs/>
        </w:rPr>
        <w:t>Points of contact:</w:t>
      </w:r>
      <w:r>
        <w:rPr>
          <w:rFonts w:ascii="Calibri" w:hAnsi="Calibri" w:cs="Calibri"/>
        </w:rPr>
        <w:t xml:space="preserve"> </w:t>
      </w:r>
      <w:r>
        <w:rPr>
          <w:rFonts w:ascii="Calibri" w:hAnsi="Calibri" w:cs="Calibri"/>
        </w:rPr>
        <w:tab/>
      </w:r>
      <w:r w:rsidR="00E33061">
        <w:rPr>
          <w:rFonts w:ascii="Calibri" w:hAnsi="Calibri" w:cs="Calibri"/>
        </w:rPr>
        <w:t xml:space="preserve">Mari Hickmann, MEAL Advisor CTWWC </w:t>
      </w:r>
    </w:p>
    <w:p w14:paraId="553D2775" w14:textId="38D82664" w:rsidR="00CE5304" w:rsidRDefault="00CE5304" w:rsidP="00CE5304">
      <w:pPr>
        <w:tabs>
          <w:tab w:val="left" w:pos="2268"/>
        </w:tabs>
        <w:autoSpaceDE w:val="0"/>
        <w:autoSpaceDN w:val="0"/>
        <w:adjustRightInd w:val="0"/>
        <w:ind w:left="2880" w:hanging="2880"/>
        <w:rPr>
          <w:rFonts w:ascii="Calibri" w:hAnsi="Calibri" w:cs="Calibri"/>
        </w:rPr>
      </w:pPr>
    </w:p>
    <w:p w14:paraId="7A3287FD" w14:textId="29F8F0E6" w:rsidR="00CE5304" w:rsidRPr="00D83E2B" w:rsidRDefault="00CE5304" w:rsidP="00CE5304">
      <w:pPr>
        <w:tabs>
          <w:tab w:val="left" w:pos="2268"/>
        </w:tabs>
        <w:autoSpaceDE w:val="0"/>
        <w:autoSpaceDN w:val="0"/>
        <w:adjustRightInd w:val="0"/>
        <w:spacing w:after="120"/>
        <w:ind w:left="2880" w:hanging="2880"/>
        <w:rPr>
          <w:rFonts w:ascii="Calibri" w:hAnsi="Calibri" w:cs="Calibri"/>
          <w:b/>
          <w:bCs/>
        </w:rPr>
      </w:pPr>
      <w:r w:rsidRPr="00D83E2B">
        <w:rPr>
          <w:rFonts w:ascii="Calibri" w:hAnsi="Calibri" w:cs="Calibri"/>
          <w:b/>
          <w:bCs/>
        </w:rPr>
        <w:t>Background:</w:t>
      </w:r>
    </w:p>
    <w:p w14:paraId="15C43453" w14:textId="7823B8C2" w:rsidR="00CE5304" w:rsidRPr="00FB2C88" w:rsidRDefault="00CE5304" w:rsidP="00CE5304">
      <w:pPr>
        <w:spacing w:after="120"/>
      </w:pPr>
      <w:r w:rsidRPr="00FB2C88">
        <w:rPr>
          <w:i/>
        </w:rPr>
        <w:t xml:space="preserve">Changing The Way We </w:t>
      </w:r>
      <w:proofErr w:type="spellStart"/>
      <w:r w:rsidRPr="00FB2C88">
        <w:rPr>
          <w:i/>
        </w:rPr>
        <w:t>Care</w:t>
      </w:r>
      <w:r w:rsidRPr="00FB2C88">
        <w:rPr>
          <w:vertAlign w:val="superscript"/>
        </w:rPr>
        <w:t>SM</w:t>
      </w:r>
      <w:proofErr w:type="spellEnd"/>
      <w:r w:rsidRPr="00FB2C88">
        <w:t xml:space="preserve"> (CTWWC) is an initiative designed to promote safe, nurturing family care for children: those reunifying from institutions or those risk of child-family separation. </w:t>
      </w:r>
      <w:r w:rsidRPr="00FB2C88">
        <w:rPr>
          <w:rStyle w:val="normaltextrun"/>
          <w:color w:val="000000" w:themeColor="text1"/>
        </w:rPr>
        <w:t>This includes strengthening families and reforming national systems of care for children, including family reunification and reintegration, development of alternative family-based care (in keeping with the United Nations Guidelines for the Alternative Care of Children). CTWWC is a consortium of Catholic Relief Services</w:t>
      </w:r>
      <w:r w:rsidR="00272376">
        <w:rPr>
          <w:rStyle w:val="normaltextrun"/>
          <w:color w:val="000000" w:themeColor="text1"/>
        </w:rPr>
        <w:t xml:space="preserve"> and</w:t>
      </w:r>
      <w:r w:rsidRPr="00FB2C88">
        <w:rPr>
          <w:rStyle w:val="normaltextrun"/>
          <w:color w:val="000000" w:themeColor="text1"/>
        </w:rPr>
        <w:t xml:space="preserve"> </w:t>
      </w:r>
      <w:proofErr w:type="spellStart"/>
      <w:r w:rsidRPr="00FB2C88">
        <w:rPr>
          <w:rStyle w:val="normaltextrun"/>
          <w:color w:val="000000" w:themeColor="text1"/>
        </w:rPr>
        <w:t>Maestral</w:t>
      </w:r>
      <w:proofErr w:type="spellEnd"/>
      <w:r w:rsidRPr="00FB2C88">
        <w:rPr>
          <w:rStyle w:val="normaltextrun"/>
          <w:color w:val="000000" w:themeColor="text1"/>
        </w:rPr>
        <w:t xml:space="preserve"> International, and key partners like Better Care Network</w:t>
      </w:r>
      <w:r>
        <w:rPr>
          <w:rStyle w:val="normaltextrun"/>
          <w:color w:val="000000" w:themeColor="text1"/>
        </w:rPr>
        <w:t>, Faith to Action</w:t>
      </w:r>
      <w:r w:rsidRPr="00FB2C88">
        <w:rPr>
          <w:rStyle w:val="normaltextrun"/>
          <w:color w:val="000000" w:themeColor="text1"/>
        </w:rPr>
        <w:t xml:space="preserve"> and others, joined</w:t>
      </w:r>
      <w:r>
        <w:rPr>
          <w:rStyle w:val="normaltextrun"/>
          <w:color w:val="000000" w:themeColor="text1"/>
        </w:rPr>
        <w:t xml:space="preserve"> </w:t>
      </w:r>
      <w:r w:rsidRPr="00FB2C88">
        <w:rPr>
          <w:rStyle w:val="normaltextrun"/>
          <w:color w:val="000000" w:themeColor="text1"/>
        </w:rPr>
        <w:t xml:space="preserve">by donors. </w:t>
      </w:r>
      <w:r w:rsidRPr="00FB2C88">
        <w:t>CTWWC is operating in the context of growing interest in care reform, and as a result of a growing global understanding that institutional care of children is a significant problem that will be best addressed through collaboration between national, regional and global stakeholders to develop alternative care systems supportive of family care.</w:t>
      </w:r>
    </w:p>
    <w:p w14:paraId="2317FFC3" w14:textId="5CDC7AF9" w:rsidR="00CE5304" w:rsidRPr="00FB2C88" w:rsidRDefault="00CE5304" w:rsidP="00CE5304">
      <w:pPr>
        <w:spacing w:after="120"/>
        <w:rPr>
          <w:rFonts w:cstheme="minorHAnsi"/>
        </w:rPr>
      </w:pPr>
      <w:r w:rsidRPr="00FB2C88">
        <w:rPr>
          <w:rFonts w:cstheme="minorHAnsi"/>
        </w:rPr>
        <w:t xml:space="preserve">CTWWC has three main components:  (1) Governments promote family care through improvement and uptake of policies, investment in social workers, therapists, and other social service staff and the national and community systems that serve vulnerable children and families; (2) Children stay in or return to families through family strengthening that includes the voice of children, community engagement, and transitioning institutions to family support initiatives; and (3) Family care promoted globally, through global, regional and national advocacy to advance policies, best practices and redirection of resources by multi-lateral, bi-lateral, corporate, philanthropic, faith-based and secular organizations and individuals, increasing the demand from other countries to support family care. </w:t>
      </w:r>
      <w:r>
        <w:rPr>
          <w:rFonts w:cstheme="minorHAnsi"/>
        </w:rPr>
        <w:t>These objectives are underpinned by cross-cutting objectives around participation of those with lived experience such as children, care leavers and care givers, and by an internal and external commitment to learning. CTWWC</w:t>
      </w:r>
      <w:r w:rsidRPr="00FB2C88">
        <w:rPr>
          <w:rFonts w:cstheme="minorHAnsi"/>
        </w:rPr>
        <w:t xml:space="preserve"> use</w:t>
      </w:r>
      <w:r>
        <w:rPr>
          <w:rFonts w:cstheme="minorHAnsi"/>
        </w:rPr>
        <w:t>s</w:t>
      </w:r>
      <w:r w:rsidRPr="00FB2C88">
        <w:rPr>
          <w:rFonts w:cstheme="minorHAnsi"/>
        </w:rPr>
        <w:t xml:space="preserve"> learning and evidence from CTWWC demonstration </w:t>
      </w:r>
      <w:r>
        <w:rPr>
          <w:rFonts w:cstheme="minorHAnsi"/>
        </w:rPr>
        <w:t xml:space="preserve">areas in targeted </w:t>
      </w:r>
      <w:r w:rsidRPr="00FB2C88">
        <w:rPr>
          <w:rFonts w:cstheme="minorHAnsi"/>
        </w:rPr>
        <w:t>countries</w:t>
      </w:r>
      <w:r>
        <w:rPr>
          <w:rFonts w:cstheme="minorHAnsi"/>
        </w:rPr>
        <w:t xml:space="preserve"> to influence care reform at scale</w:t>
      </w:r>
      <w:r w:rsidRPr="00FB2C88">
        <w:rPr>
          <w:rFonts w:cstheme="minorHAnsi"/>
        </w:rPr>
        <w:t>, a</w:t>
      </w:r>
      <w:r>
        <w:rPr>
          <w:rFonts w:cstheme="minorHAnsi"/>
        </w:rPr>
        <w:t xml:space="preserve">nd using the learning from those demonstration </w:t>
      </w:r>
      <w:r w:rsidRPr="00FB2C88">
        <w:rPr>
          <w:rFonts w:cstheme="minorHAnsi"/>
        </w:rPr>
        <w:t xml:space="preserve">countries </w:t>
      </w:r>
      <w:r>
        <w:rPr>
          <w:rFonts w:cstheme="minorHAnsi"/>
        </w:rPr>
        <w:t>to influence regionally and globally around</w:t>
      </w:r>
      <w:r w:rsidRPr="00FB2C88">
        <w:rPr>
          <w:rFonts w:cstheme="minorHAnsi"/>
        </w:rPr>
        <w:t xml:space="preserve"> policies and practice</w:t>
      </w:r>
      <w:r>
        <w:rPr>
          <w:rFonts w:cstheme="minorHAnsi"/>
        </w:rPr>
        <w:t>s</w:t>
      </w:r>
      <w:r w:rsidRPr="00FB2C88">
        <w:rPr>
          <w:rFonts w:cstheme="minorHAnsi"/>
        </w:rPr>
        <w:t xml:space="preserve"> that </w:t>
      </w:r>
      <w:r>
        <w:rPr>
          <w:rFonts w:cstheme="minorHAnsi"/>
        </w:rPr>
        <w:t xml:space="preserve">will </w:t>
      </w:r>
      <w:r w:rsidRPr="00FB2C88">
        <w:rPr>
          <w:rFonts w:cstheme="minorHAnsi"/>
        </w:rPr>
        <w:t>lea</w:t>
      </w:r>
      <w:r>
        <w:rPr>
          <w:rFonts w:cstheme="minorHAnsi"/>
        </w:rPr>
        <w:t>d</w:t>
      </w:r>
      <w:r w:rsidRPr="00FB2C88">
        <w:rPr>
          <w:rFonts w:cstheme="minorHAnsi"/>
        </w:rPr>
        <w:t xml:space="preserve"> to redirection of </w:t>
      </w:r>
      <w:r>
        <w:rPr>
          <w:rFonts w:cstheme="minorHAnsi"/>
        </w:rPr>
        <w:t xml:space="preserve">resources </w:t>
      </w:r>
      <w:r w:rsidRPr="00FB2C88">
        <w:rPr>
          <w:rFonts w:cstheme="minorHAnsi"/>
        </w:rPr>
        <w:t>to support family care over institutions.</w:t>
      </w:r>
    </w:p>
    <w:p w14:paraId="390C1B1B" w14:textId="4B82A60D" w:rsidR="00CE5304" w:rsidRPr="00CE5304" w:rsidRDefault="00CE5304" w:rsidP="00CE5304">
      <w:pPr>
        <w:spacing w:after="120"/>
        <w:rPr>
          <w:b/>
          <w:bCs/>
        </w:rPr>
      </w:pPr>
      <w:r>
        <w:rPr>
          <w:b/>
          <w:bCs/>
        </w:rPr>
        <w:t>Conceptual frames</w:t>
      </w:r>
    </w:p>
    <w:p w14:paraId="150577C8" w14:textId="6F4B0CC2" w:rsidR="00CE5304" w:rsidRDefault="00CE5304" w:rsidP="00CE5304">
      <w:pPr>
        <w:spacing w:after="120"/>
      </w:pPr>
      <w:r>
        <w:lastRenderedPageBreak/>
        <w:t xml:space="preserve">Since the initiative’s conception in 2016 and then </w:t>
      </w:r>
      <w:r w:rsidR="00167C68">
        <w:t>commencement within smaller scale</w:t>
      </w:r>
      <w:r>
        <w:t xml:space="preserve"> in 2018, </w:t>
      </w:r>
      <w:r w:rsidR="00167C68">
        <w:t xml:space="preserve">concepts around </w:t>
      </w:r>
      <w:r>
        <w:t xml:space="preserve">scaling of </w:t>
      </w:r>
      <w:r w:rsidR="00167C68">
        <w:t xml:space="preserve">both </w:t>
      </w:r>
      <w:r>
        <w:t>national care reform and of change at regional and global levels ha</w:t>
      </w:r>
      <w:r w:rsidR="00167C68">
        <w:t>ve</w:t>
      </w:r>
      <w:r>
        <w:t xml:space="preserve"> been evolving. In 2016, when CTWWC was competing in the </w:t>
      </w:r>
      <w:hyperlink r:id="rId10" w:history="1">
        <w:r w:rsidR="00167C68" w:rsidRPr="008F23EB">
          <w:rPr>
            <w:rStyle w:val="Hyperlink"/>
          </w:rPr>
          <w:t>MacArthur</w:t>
        </w:r>
        <w:r w:rsidR="00167C68">
          <w:rPr>
            <w:rStyle w:val="Hyperlink"/>
          </w:rPr>
          <w:t xml:space="preserve"> Foundation</w:t>
        </w:r>
        <w:r w:rsidRPr="008F23EB">
          <w:rPr>
            <w:rStyle w:val="Hyperlink"/>
          </w:rPr>
          <w:t xml:space="preserve"> 100&amp;Change</w:t>
        </w:r>
      </w:hyperlink>
      <w:r>
        <w:t xml:space="preserve">, a </w:t>
      </w:r>
      <w:hyperlink r:id="rId11" w:history="1">
        <w:r w:rsidRPr="00CE5304">
          <w:rPr>
            <w:rStyle w:val="Hyperlink"/>
          </w:rPr>
          <w:t>scaling strategy</w:t>
        </w:r>
      </w:hyperlink>
      <w:r>
        <w:t xml:space="preserve"> was developed with support from Management Systems Incorporated (MSI) as a companion to the </w:t>
      </w:r>
      <w:r w:rsidR="007679AA">
        <w:t xml:space="preserve">grant </w:t>
      </w:r>
      <w:r>
        <w:t>application.</w:t>
      </w:r>
      <w:r w:rsidR="00167C68">
        <w:t xml:space="preserve"> This strategy framed scale within a large and well-resourced global initiative. </w:t>
      </w:r>
    </w:p>
    <w:p w14:paraId="187F5B06" w14:textId="68588DD6" w:rsidR="007679AA" w:rsidRPr="007679AA" w:rsidRDefault="007679AA" w:rsidP="007679AA">
      <w:pPr>
        <w:spacing w:after="120"/>
      </w:pPr>
      <w:r>
        <w:t xml:space="preserve">CTWWC views scaling up as </w:t>
      </w:r>
      <w:r w:rsidRPr="007679AA">
        <w:t xml:space="preserve">the </w:t>
      </w:r>
      <w:r w:rsidRPr="007679AA">
        <w:rPr>
          <w:b/>
          <w:bCs/>
          <w:i/>
          <w:iCs/>
        </w:rPr>
        <w:t>process</w:t>
      </w:r>
      <w:r w:rsidRPr="007679AA">
        <w:t xml:space="preserve"> whereby governments, agencies and organizations expand, evaluate, adapt and sustain successful policies, programs, and services in geographic space and over time to strengthen the effectiveness and impact of the child protection system.</w:t>
      </w:r>
    </w:p>
    <w:p w14:paraId="2D5B4F21" w14:textId="6467759B" w:rsidR="00CE5304" w:rsidRDefault="00167C68" w:rsidP="00CE5304">
      <w:pPr>
        <w:spacing w:after="120"/>
      </w:pPr>
      <w:r>
        <w:t>After beginning implementation in 2018, the CTWWC leadership team outlined a</w:t>
      </w:r>
      <w:r w:rsidR="00CE5304">
        <w:t xml:space="preserve"> </w:t>
      </w:r>
      <w:hyperlink r:id="rId12" w:history="1">
        <w:r w:rsidR="00CE5304" w:rsidRPr="008F23EB">
          <w:rPr>
            <w:rStyle w:val="Hyperlink"/>
          </w:rPr>
          <w:t>rebuild strategy</w:t>
        </w:r>
      </w:hyperlink>
      <w:r w:rsidR="00CE5304">
        <w:t xml:space="preserve"> aimed at </w:t>
      </w:r>
      <w:r w:rsidR="000C331B">
        <w:t xml:space="preserve">replicating </w:t>
      </w:r>
      <w:r w:rsidR="008F23EB" w:rsidRPr="008F23EB">
        <w:t>CTWWC demonstration to reach other countries</w:t>
      </w:r>
      <w:r w:rsidR="00CE5304">
        <w:t xml:space="preserve"> or rebuilding the initiative to its vision under a $100million award over five+ years and in seven countries</w:t>
      </w:r>
      <w:r>
        <w:t xml:space="preserve">. Thus far </w:t>
      </w:r>
      <w:r w:rsidR="000C331B">
        <w:t>(</w:t>
      </w:r>
      <w:r>
        <w:t>and as we enter year four of implementation</w:t>
      </w:r>
      <w:r w:rsidR="000C331B">
        <w:t>)</w:t>
      </w:r>
      <w:r>
        <w:t xml:space="preserve"> resources continued to be limited</w:t>
      </w:r>
      <w:r w:rsidR="007679AA">
        <w:t xml:space="preserve"> relative to that vision</w:t>
      </w:r>
      <w:r>
        <w:t>.</w:t>
      </w:r>
    </w:p>
    <w:p w14:paraId="45336700" w14:textId="713765C5" w:rsidR="00167C68" w:rsidRDefault="00167C68" w:rsidP="00CE5304">
      <w:pPr>
        <w:spacing w:after="120"/>
      </w:pPr>
      <w:r w:rsidRPr="008F23EB">
        <w:rPr>
          <w:noProof/>
        </w:rPr>
        <w:drawing>
          <wp:anchor distT="0" distB="0" distL="114300" distR="114300" simplePos="0" relativeHeight="251658240" behindDoc="0" locked="0" layoutInCell="1" allowOverlap="1" wp14:anchorId="0E4CA6FC" wp14:editId="5944E3D7">
            <wp:simplePos x="0" y="0"/>
            <wp:positionH relativeFrom="column">
              <wp:posOffset>-112541</wp:posOffset>
            </wp:positionH>
            <wp:positionV relativeFrom="paragraph">
              <wp:posOffset>197582</wp:posOffset>
            </wp:positionV>
            <wp:extent cx="3788410" cy="213106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8410" cy="2131060"/>
                    </a:xfrm>
                    <a:prstGeom prst="rect">
                      <a:avLst/>
                    </a:prstGeom>
                  </pic:spPr>
                </pic:pic>
              </a:graphicData>
            </a:graphic>
            <wp14:sizeRelH relativeFrom="page">
              <wp14:pctWidth>0</wp14:pctWidth>
            </wp14:sizeRelH>
            <wp14:sizeRelV relativeFrom="page">
              <wp14:pctHeight>0</wp14:pctHeight>
            </wp14:sizeRelV>
          </wp:anchor>
        </w:drawing>
      </w:r>
      <w:r w:rsidR="00CE5304">
        <w:t>Demonstration country work in Kenya, Guatemala and Moldova is</w:t>
      </w:r>
      <w:r>
        <w:t xml:space="preserve"> very much framed strategically around </w:t>
      </w:r>
      <w:r w:rsidR="000C331B">
        <w:t>scaling</w:t>
      </w:r>
      <w:r w:rsidR="00CE5304">
        <w:t xml:space="preserve"> </w:t>
      </w:r>
      <w:r w:rsidR="000C331B">
        <w:t>national care systems</w:t>
      </w:r>
      <w:r>
        <w:t>.</w:t>
      </w:r>
      <w:r w:rsidR="00CE5304">
        <w:rPr>
          <w:rStyle w:val="FootnoteReference"/>
        </w:rPr>
        <w:footnoteReference w:id="1"/>
      </w:r>
      <w:r w:rsidR="00CE5304">
        <w:t xml:space="preserve"> </w:t>
      </w:r>
      <w:r w:rsidR="007679AA">
        <w:t xml:space="preserve">For example, Kenya’s plan is to take the demonstration counties to national scale, while simultaneously improving the access to and quality of programs and services. </w:t>
      </w:r>
      <w:r w:rsidR="000C331B">
        <w:t xml:space="preserve">Many CTWWC </w:t>
      </w:r>
      <w:r w:rsidR="00CE5304">
        <w:t xml:space="preserve">activities </w:t>
      </w:r>
      <w:r w:rsidR="000C331B">
        <w:t xml:space="preserve">fit in to a </w:t>
      </w:r>
      <w:r w:rsidR="00CE5304">
        <w:t xml:space="preserve">strategic framework </w:t>
      </w:r>
      <w:r w:rsidR="000C331B">
        <w:t>(see image to the left) to scale-up national care systems. Knowing that CTWWC aims to work closely with government counterparts and other actors to reach scale, we are conceptualizing what</w:t>
      </w:r>
      <w:r>
        <w:t xml:space="preserve"> a tipping point </w:t>
      </w:r>
      <w:r w:rsidR="000C331B">
        <w:t>in each</w:t>
      </w:r>
      <w:r>
        <w:t xml:space="preserve"> country </w:t>
      </w:r>
      <w:r w:rsidR="000C331B">
        <w:t>looks like</w:t>
      </w:r>
      <w:r>
        <w:t>.</w:t>
      </w:r>
      <w:r>
        <w:rPr>
          <w:rStyle w:val="FootnoteReference"/>
        </w:rPr>
        <w:footnoteReference w:id="2"/>
      </w:r>
      <w:r>
        <w:t xml:space="preserve"> </w:t>
      </w:r>
      <w:r w:rsidR="00CE5304">
        <w:t xml:space="preserve">During the FY21 planning process, CTWWC </w:t>
      </w:r>
      <w:r w:rsidR="000C331B">
        <w:t>started visualizing</w:t>
      </w:r>
      <w:r w:rsidR="00CE5304">
        <w:t xml:space="preserve"> </w:t>
      </w:r>
      <w:r w:rsidR="000C331B">
        <w:t>what we think</w:t>
      </w:r>
      <w:hyperlink r:id="rId14" w:history="1">
        <w:r w:rsidR="00CE5304" w:rsidRPr="0053728C">
          <w:rPr>
            <w:rStyle w:val="Hyperlink"/>
          </w:rPr>
          <w:t xml:space="preserve"> tipping points</w:t>
        </w:r>
      </w:hyperlink>
      <w:r>
        <w:t xml:space="preserve"> in</w:t>
      </w:r>
      <w:r w:rsidR="000C331B">
        <w:t xml:space="preserve"> each country may look like in</w:t>
      </w:r>
      <w:r>
        <w:t xml:space="preserve"> order to encourage visionary thinking in country, regional and global planning.</w:t>
      </w:r>
    </w:p>
    <w:p w14:paraId="74B46903" w14:textId="69CF6A56" w:rsidR="00167C68" w:rsidRDefault="007211CA" w:rsidP="00CE5304">
      <w:pPr>
        <w:spacing w:after="120"/>
      </w:pPr>
      <w:r>
        <w:t>CTWWC has</w:t>
      </w:r>
      <w:r w:rsidR="00A33E6D">
        <w:t xml:space="preserve"> a view of what scale means, what it might look like and what it may take to get there. This is outlined in the flowchart</w:t>
      </w:r>
      <w:r w:rsidR="00F60DB8">
        <w:t xml:space="preserve"> on the following page</w:t>
      </w:r>
      <w:r w:rsidR="00A33E6D">
        <w:t xml:space="preserve">. </w:t>
      </w:r>
      <w:r>
        <w:t xml:space="preserve">Our vision and thinking on the process to reach a tipping point, however, has not been fully articulated with government counterparts, nor with other key actors in each demonstration country. </w:t>
      </w:r>
      <w:r w:rsidR="00A33E6D">
        <w:t>At the same time, CTWWC’s work is not only about demonstration at a country level. There is less view of what it means to take changing children’s care to scale regionally or globally.</w:t>
      </w:r>
    </w:p>
    <w:p w14:paraId="222C4D1E" w14:textId="73BE5E9A" w:rsidR="00F60DB8" w:rsidRPr="00A33E6D" w:rsidRDefault="00F60DB8" w:rsidP="00CE5304">
      <w:pPr>
        <w:spacing w:after="120"/>
      </w:pPr>
      <w:r w:rsidRPr="00F60DB8">
        <w:rPr>
          <w:noProof/>
        </w:rPr>
        <w:lastRenderedPageBreak/>
        <w:drawing>
          <wp:anchor distT="0" distB="0" distL="114300" distR="114300" simplePos="0" relativeHeight="251659264" behindDoc="1" locked="0" layoutInCell="1" allowOverlap="1" wp14:anchorId="69402697" wp14:editId="197D4008">
            <wp:simplePos x="0" y="0"/>
            <wp:positionH relativeFrom="column">
              <wp:posOffset>0</wp:posOffset>
            </wp:positionH>
            <wp:positionV relativeFrom="paragraph">
              <wp:posOffset>25400</wp:posOffset>
            </wp:positionV>
            <wp:extent cx="4634865" cy="2962910"/>
            <wp:effectExtent l="0" t="25400" r="13335" b="0"/>
            <wp:wrapTopAndBottom/>
            <wp:docPr id="13" name="Diagram 13">
              <a:extLst xmlns:a="http://schemas.openxmlformats.org/drawingml/2006/main">
                <a:ext uri="{FF2B5EF4-FFF2-40B4-BE49-F238E27FC236}">
                  <a16:creationId xmlns:a16="http://schemas.microsoft.com/office/drawing/2014/main" id="{12B554A1-125A-0F49-8185-D3DF7D735A9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14:paraId="1585B6AD" w14:textId="40F7924D" w:rsidR="008F23EB" w:rsidRDefault="00167C68" w:rsidP="00CE5304">
      <w:pPr>
        <w:spacing w:after="120"/>
        <w:rPr>
          <w:b/>
          <w:bCs/>
        </w:rPr>
      </w:pPr>
      <w:r>
        <w:rPr>
          <w:b/>
          <w:bCs/>
        </w:rPr>
        <w:t>Scope of the consultancy</w:t>
      </w:r>
    </w:p>
    <w:p w14:paraId="16512C66" w14:textId="756C1555" w:rsidR="00A33E6D" w:rsidRPr="00A33E6D" w:rsidRDefault="00A33E6D">
      <w:pPr>
        <w:rPr>
          <w:rFonts w:ascii="Calibri" w:hAnsi="Calibri" w:cs="Calibri"/>
        </w:rPr>
      </w:pPr>
      <w:r w:rsidRPr="00A33E6D">
        <w:rPr>
          <w:rFonts w:ascii="Calibri" w:hAnsi="Calibri" w:cs="Calibri"/>
        </w:rPr>
        <w:t>CTWWC seeks support from an expert consultant to facilitate a process helping the initiative to:</w:t>
      </w:r>
    </w:p>
    <w:p w14:paraId="55ECB01A" w14:textId="2EB71675" w:rsidR="00A33E6D" w:rsidRPr="00A33E6D" w:rsidRDefault="00A33E6D" w:rsidP="00A33E6D">
      <w:pPr>
        <w:pStyle w:val="ListParagraph"/>
        <w:numPr>
          <w:ilvl w:val="0"/>
          <w:numId w:val="4"/>
        </w:numPr>
        <w:rPr>
          <w:rFonts w:ascii="Calibri" w:hAnsi="Calibri" w:cs="Calibri"/>
        </w:rPr>
      </w:pPr>
      <w:r>
        <w:rPr>
          <w:rFonts w:ascii="Calibri" w:hAnsi="Calibri" w:cs="Calibri"/>
        </w:rPr>
        <w:t>Understand w</w:t>
      </w:r>
      <w:r w:rsidR="00890140" w:rsidRPr="00A33E6D">
        <w:rPr>
          <w:rFonts w:ascii="Calibri" w:hAnsi="Calibri" w:cs="Calibri"/>
        </w:rPr>
        <w:t xml:space="preserve">hat </w:t>
      </w:r>
      <w:r>
        <w:rPr>
          <w:rFonts w:ascii="Calibri" w:hAnsi="Calibri" w:cs="Calibri"/>
        </w:rPr>
        <w:t>the</w:t>
      </w:r>
      <w:r w:rsidR="00890140" w:rsidRPr="00A33E6D">
        <w:rPr>
          <w:rFonts w:ascii="Calibri" w:hAnsi="Calibri" w:cs="Calibri"/>
        </w:rPr>
        <w:t xml:space="preserve"> challenges and successes of </w:t>
      </w:r>
      <w:r>
        <w:rPr>
          <w:rFonts w:ascii="Calibri" w:hAnsi="Calibri" w:cs="Calibri"/>
        </w:rPr>
        <w:t>“</w:t>
      </w:r>
      <w:r w:rsidR="00890140" w:rsidRPr="00A33E6D">
        <w:rPr>
          <w:rFonts w:ascii="Calibri" w:hAnsi="Calibri" w:cs="Calibri"/>
        </w:rPr>
        <w:t>going to scale</w:t>
      </w:r>
      <w:r>
        <w:rPr>
          <w:rFonts w:ascii="Calibri" w:hAnsi="Calibri" w:cs="Calibri"/>
        </w:rPr>
        <w:t xml:space="preserve">” are within development programs, the care </w:t>
      </w:r>
      <w:r w:rsidRPr="00A33E6D">
        <w:rPr>
          <w:rFonts w:ascii="Calibri" w:hAnsi="Calibri" w:cs="Calibri"/>
        </w:rPr>
        <w:t>reform sector and within influence initiatives</w:t>
      </w:r>
      <w:r>
        <w:rPr>
          <w:rFonts w:ascii="Calibri" w:hAnsi="Calibri" w:cs="Calibri"/>
        </w:rPr>
        <w:t>;</w:t>
      </w:r>
    </w:p>
    <w:p w14:paraId="3C0C6F96" w14:textId="0BDE8DDA" w:rsidR="00A33E6D" w:rsidRDefault="00A33E6D" w:rsidP="00A33E6D">
      <w:pPr>
        <w:pStyle w:val="ListParagraph"/>
        <w:numPr>
          <w:ilvl w:val="0"/>
          <w:numId w:val="4"/>
        </w:numPr>
        <w:rPr>
          <w:rFonts w:ascii="Calibri" w:hAnsi="Calibri" w:cs="Calibri"/>
        </w:rPr>
      </w:pPr>
      <w:r w:rsidRPr="00A33E6D">
        <w:rPr>
          <w:rFonts w:ascii="Calibri" w:hAnsi="Calibri" w:cs="Calibri"/>
        </w:rPr>
        <w:t xml:space="preserve">Understand the gaps in the </w:t>
      </w:r>
      <w:r>
        <w:rPr>
          <w:rFonts w:ascii="Calibri" w:hAnsi="Calibri" w:cs="Calibri"/>
        </w:rPr>
        <w:t xml:space="preserve">initiative’s </w:t>
      </w:r>
      <w:r w:rsidRPr="00A33E6D">
        <w:rPr>
          <w:rFonts w:ascii="Calibri" w:hAnsi="Calibri" w:cs="Calibri"/>
        </w:rPr>
        <w:t>current theoretical frameworks</w:t>
      </w:r>
      <w:r w:rsidR="00A87C42">
        <w:rPr>
          <w:rFonts w:ascii="Calibri" w:hAnsi="Calibri" w:cs="Calibri"/>
        </w:rPr>
        <w:t xml:space="preserve"> related to scaling and tipping points</w:t>
      </w:r>
      <w:r>
        <w:rPr>
          <w:rFonts w:ascii="Calibri" w:hAnsi="Calibri" w:cs="Calibri"/>
        </w:rPr>
        <w:t>;</w:t>
      </w:r>
    </w:p>
    <w:p w14:paraId="4A0374D6" w14:textId="2268A7B4" w:rsidR="00A33E6D" w:rsidRDefault="00A33E6D" w:rsidP="00A33E6D">
      <w:pPr>
        <w:pStyle w:val="ListParagraph"/>
        <w:numPr>
          <w:ilvl w:val="0"/>
          <w:numId w:val="4"/>
        </w:numPr>
        <w:rPr>
          <w:rFonts w:ascii="Calibri" w:hAnsi="Calibri" w:cs="Calibri"/>
        </w:rPr>
      </w:pPr>
      <w:r>
        <w:rPr>
          <w:rFonts w:ascii="Calibri" w:hAnsi="Calibri" w:cs="Calibri"/>
        </w:rPr>
        <w:t>Define scale in the regional and global influence and engagement work;</w:t>
      </w:r>
    </w:p>
    <w:p w14:paraId="2E4CAFB3" w14:textId="351FF9A3" w:rsidR="00A33E6D" w:rsidRPr="00A33E6D" w:rsidRDefault="00A33E6D" w:rsidP="00A33E6D">
      <w:pPr>
        <w:pStyle w:val="ListParagraph"/>
        <w:numPr>
          <w:ilvl w:val="0"/>
          <w:numId w:val="4"/>
        </w:numPr>
        <w:rPr>
          <w:rFonts w:ascii="Calibri" w:hAnsi="Calibri" w:cs="Calibri"/>
        </w:rPr>
      </w:pPr>
      <w:r w:rsidRPr="00A33E6D">
        <w:rPr>
          <w:rFonts w:ascii="Calibri" w:hAnsi="Calibri" w:cs="Calibri"/>
        </w:rPr>
        <w:t>Work across teams to develop a vision for scale</w:t>
      </w:r>
      <w:r w:rsidR="003E7B53">
        <w:rPr>
          <w:rFonts w:ascii="Calibri" w:hAnsi="Calibri" w:cs="Calibri"/>
        </w:rPr>
        <w:t xml:space="preserve"> that is shared with key actors </w:t>
      </w:r>
      <w:r w:rsidR="00A87C42">
        <w:rPr>
          <w:rFonts w:ascii="Calibri" w:hAnsi="Calibri" w:cs="Calibri"/>
        </w:rPr>
        <w:t>(</w:t>
      </w:r>
      <w:r w:rsidR="003E7B53">
        <w:rPr>
          <w:rFonts w:ascii="Calibri" w:hAnsi="Calibri" w:cs="Calibri"/>
        </w:rPr>
        <w:t>within each countr</w:t>
      </w:r>
      <w:r w:rsidR="007679AA">
        <w:rPr>
          <w:rFonts w:ascii="Calibri" w:hAnsi="Calibri" w:cs="Calibri"/>
        </w:rPr>
        <w:t>y</w:t>
      </w:r>
      <w:r w:rsidR="00A87C42">
        <w:rPr>
          <w:rFonts w:ascii="Calibri" w:hAnsi="Calibri" w:cs="Calibri"/>
        </w:rPr>
        <w:t xml:space="preserve"> or among key global and regional actors for global and regional scaling)</w:t>
      </w:r>
      <w:r w:rsidRPr="00A33E6D">
        <w:rPr>
          <w:rFonts w:ascii="Calibri" w:hAnsi="Calibri" w:cs="Calibri"/>
        </w:rPr>
        <w:t>;</w:t>
      </w:r>
    </w:p>
    <w:p w14:paraId="7D7EBB12" w14:textId="6C84CC94" w:rsidR="00BA37DE" w:rsidRDefault="00A33E6D" w:rsidP="00A33E6D">
      <w:pPr>
        <w:pStyle w:val="ListParagraph"/>
        <w:numPr>
          <w:ilvl w:val="0"/>
          <w:numId w:val="4"/>
        </w:numPr>
        <w:rPr>
          <w:rFonts w:ascii="Calibri" w:hAnsi="Calibri" w:cs="Calibri"/>
        </w:rPr>
      </w:pPr>
      <w:r>
        <w:rPr>
          <w:rFonts w:ascii="Calibri" w:hAnsi="Calibri" w:cs="Calibri"/>
        </w:rPr>
        <w:t>M</w:t>
      </w:r>
      <w:r w:rsidR="00BA37DE" w:rsidRPr="00A33E6D">
        <w:rPr>
          <w:rFonts w:ascii="Calibri" w:hAnsi="Calibri" w:cs="Calibri"/>
        </w:rPr>
        <w:t xml:space="preserve">ove </w:t>
      </w:r>
      <w:r>
        <w:rPr>
          <w:rFonts w:ascii="Calibri" w:hAnsi="Calibri" w:cs="Calibri"/>
        </w:rPr>
        <w:t xml:space="preserve">the </w:t>
      </w:r>
      <w:r w:rsidR="00BA37DE" w:rsidRPr="00A33E6D">
        <w:rPr>
          <w:rFonts w:ascii="Calibri" w:hAnsi="Calibri" w:cs="Calibri"/>
        </w:rPr>
        <w:t xml:space="preserve">CTWWC teams </w:t>
      </w:r>
      <w:r>
        <w:rPr>
          <w:rFonts w:ascii="Calibri" w:hAnsi="Calibri" w:cs="Calibri"/>
        </w:rPr>
        <w:t xml:space="preserve">forward </w:t>
      </w:r>
      <w:r w:rsidR="00BA37DE" w:rsidRPr="00A33E6D">
        <w:rPr>
          <w:rFonts w:ascii="Calibri" w:hAnsi="Calibri" w:cs="Calibri"/>
        </w:rPr>
        <w:t xml:space="preserve">in </w:t>
      </w:r>
      <w:r w:rsidR="003E7B53">
        <w:rPr>
          <w:rFonts w:ascii="Calibri" w:hAnsi="Calibri" w:cs="Calibri"/>
        </w:rPr>
        <w:t>building their capacity to speak about scale, gather consensus about what tipping points would look like, and implement strategic activities to scale-up</w:t>
      </w:r>
      <w:r>
        <w:rPr>
          <w:rFonts w:ascii="Calibri" w:hAnsi="Calibri" w:cs="Calibri"/>
        </w:rPr>
        <w:t>; and</w:t>
      </w:r>
    </w:p>
    <w:p w14:paraId="79464041" w14:textId="6EB4CC06" w:rsidR="003E7B53" w:rsidRDefault="003E7B53" w:rsidP="00A33E6D">
      <w:pPr>
        <w:pStyle w:val="ListParagraph"/>
        <w:numPr>
          <w:ilvl w:val="0"/>
          <w:numId w:val="4"/>
        </w:numPr>
        <w:rPr>
          <w:rFonts w:ascii="Calibri" w:hAnsi="Calibri" w:cs="Calibri"/>
        </w:rPr>
      </w:pPr>
      <w:r>
        <w:rPr>
          <w:rFonts w:ascii="Calibri" w:hAnsi="Calibri" w:cs="Calibri"/>
        </w:rPr>
        <w:t xml:space="preserve">Support country and global teams to develop plans/activities to reach tipping points and monitor their progress </w:t>
      </w:r>
    </w:p>
    <w:p w14:paraId="264B5214" w14:textId="23F66D39" w:rsidR="00890140" w:rsidRDefault="00890140" w:rsidP="00A33E6D">
      <w:r w:rsidRPr="00A33E6D">
        <w:rPr>
          <w:rFonts w:ascii="Calibri" w:hAnsi="Calibri" w:cs="Calibri"/>
        </w:rPr>
        <w:tab/>
      </w:r>
    </w:p>
    <w:p w14:paraId="714FD6DD" w14:textId="77777777" w:rsidR="00A33E6D" w:rsidRPr="00185AAA" w:rsidRDefault="00A33E6D" w:rsidP="00A33E6D">
      <w:pPr>
        <w:pStyle w:val="ListParagraph"/>
        <w:spacing w:after="120"/>
        <w:ind w:left="0"/>
        <w:jc w:val="both"/>
        <w:rPr>
          <w:rFonts w:asciiTheme="minorHAnsi" w:hAnsiTheme="minorHAnsi" w:cstheme="majorHAnsi"/>
        </w:rPr>
      </w:pPr>
      <w:r w:rsidRPr="00185AAA">
        <w:rPr>
          <w:rFonts w:asciiTheme="minorHAnsi" w:hAnsiTheme="minorHAnsi" w:cstheme="majorHAnsi"/>
          <w:b/>
          <w:u w:val="single"/>
        </w:rPr>
        <w:t xml:space="preserve">Specific activities and deliverables  </w:t>
      </w:r>
    </w:p>
    <w:p w14:paraId="1EF2C065" w14:textId="77777777" w:rsidR="00A33E6D" w:rsidRDefault="00A33E6D" w:rsidP="00A33E6D">
      <w:pPr>
        <w:spacing w:after="120"/>
        <w:contextualSpacing/>
        <w:jc w:val="both"/>
        <w:rPr>
          <w:rFonts w:ascii="Arial" w:hAnsi="Arial" w:cs="Calibri"/>
          <w:sz w:val="22"/>
          <w:szCs w:val="22"/>
        </w:rPr>
      </w:pPr>
    </w:p>
    <w:tbl>
      <w:tblPr>
        <w:tblW w:w="9872" w:type="dxa"/>
        <w:tblInd w:w="146"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000" w:firstRow="0" w:lastRow="0" w:firstColumn="0" w:lastColumn="0" w:noHBand="0" w:noVBand="0"/>
      </w:tblPr>
      <w:tblGrid>
        <w:gridCol w:w="703"/>
        <w:gridCol w:w="1263"/>
        <w:gridCol w:w="3832"/>
        <w:gridCol w:w="2211"/>
        <w:gridCol w:w="1203"/>
        <w:gridCol w:w="660"/>
      </w:tblGrid>
      <w:tr w:rsidR="00690B1B" w:rsidRPr="00185AAA" w14:paraId="109F4F16" w14:textId="77777777" w:rsidTr="0077474E">
        <w:trPr>
          <w:trHeight w:val="440"/>
        </w:trPr>
        <w:tc>
          <w:tcPr>
            <w:tcW w:w="724" w:type="dxa"/>
            <w:tcBorders>
              <w:top w:val="single" w:sz="4" w:space="0" w:color="4472C4"/>
              <w:left w:val="single" w:sz="4" w:space="0" w:color="4472C4"/>
              <w:bottom w:val="single" w:sz="4" w:space="0" w:color="4472C4"/>
              <w:right w:val="single" w:sz="4" w:space="0" w:color="4472C4"/>
            </w:tcBorders>
            <w:shd w:val="clear" w:color="auto" w:fill="4472C4"/>
          </w:tcPr>
          <w:p w14:paraId="61CB951E" w14:textId="77777777" w:rsidR="00A33E6D" w:rsidRPr="00185AAA" w:rsidRDefault="00A33E6D" w:rsidP="006F3A4B">
            <w:pPr>
              <w:tabs>
                <w:tab w:val="left" w:pos="3696"/>
              </w:tabs>
              <w:ind w:right="-180"/>
              <w:rPr>
                <w:rFonts w:cs="Calibri"/>
                <w:b/>
                <w:bCs/>
                <w:color w:val="FFFFFF"/>
                <w:sz w:val="22"/>
                <w:szCs w:val="22"/>
                <w:lang w:val="en-GB"/>
              </w:rPr>
            </w:pPr>
          </w:p>
        </w:tc>
        <w:tc>
          <w:tcPr>
            <w:tcW w:w="1285" w:type="dxa"/>
            <w:tcBorders>
              <w:top w:val="single" w:sz="4" w:space="0" w:color="4472C4"/>
              <w:left w:val="single" w:sz="4" w:space="0" w:color="4472C4"/>
              <w:bottom w:val="single" w:sz="4" w:space="0" w:color="4472C4"/>
              <w:right w:val="single" w:sz="4" w:space="0" w:color="4472C4"/>
            </w:tcBorders>
            <w:shd w:val="clear" w:color="auto" w:fill="4472C4"/>
          </w:tcPr>
          <w:p w14:paraId="5A24831A" w14:textId="77777777" w:rsidR="00A33E6D" w:rsidRPr="00185AAA" w:rsidRDefault="00A33E6D" w:rsidP="006F3A4B">
            <w:pPr>
              <w:tabs>
                <w:tab w:val="left" w:pos="3696"/>
              </w:tabs>
              <w:ind w:right="-180"/>
              <w:rPr>
                <w:sz w:val="22"/>
                <w:szCs w:val="22"/>
                <w:lang w:val="en-GB"/>
              </w:rPr>
            </w:pPr>
            <w:r w:rsidRPr="00185AAA">
              <w:rPr>
                <w:rFonts w:cs="Calibri"/>
                <w:b/>
                <w:color w:val="FFFFFF"/>
                <w:sz w:val="22"/>
                <w:szCs w:val="22"/>
                <w:lang w:val="en-GB"/>
              </w:rPr>
              <w:t>Key areas</w:t>
            </w:r>
          </w:p>
        </w:tc>
        <w:tc>
          <w:tcPr>
            <w:tcW w:w="3986" w:type="dxa"/>
            <w:tcBorders>
              <w:top w:val="single" w:sz="4" w:space="0" w:color="4472C4"/>
              <w:left w:val="single" w:sz="4" w:space="0" w:color="4472C4"/>
              <w:bottom w:val="single" w:sz="4" w:space="0" w:color="4472C4"/>
              <w:right w:val="single" w:sz="4" w:space="0" w:color="4472C4"/>
            </w:tcBorders>
            <w:shd w:val="clear" w:color="auto" w:fill="4472C4"/>
          </w:tcPr>
          <w:p w14:paraId="45C6692B" w14:textId="77777777" w:rsidR="00A33E6D" w:rsidRPr="00185AAA" w:rsidRDefault="00A33E6D" w:rsidP="006F3A4B">
            <w:pPr>
              <w:tabs>
                <w:tab w:val="left" w:pos="3696"/>
              </w:tabs>
              <w:ind w:right="-180"/>
              <w:jc w:val="center"/>
              <w:rPr>
                <w:sz w:val="22"/>
                <w:szCs w:val="22"/>
                <w:lang w:val="en-GB"/>
              </w:rPr>
            </w:pPr>
            <w:r w:rsidRPr="00185AAA">
              <w:rPr>
                <w:rFonts w:cs="Calibri"/>
                <w:b/>
                <w:color w:val="FFFFFF"/>
                <w:sz w:val="22"/>
                <w:szCs w:val="22"/>
                <w:lang w:val="en-GB"/>
              </w:rPr>
              <w:t>Specific Activities</w:t>
            </w:r>
          </w:p>
        </w:tc>
        <w:tc>
          <w:tcPr>
            <w:tcW w:w="2211" w:type="dxa"/>
            <w:tcBorders>
              <w:top w:val="single" w:sz="4" w:space="0" w:color="4472C4"/>
              <w:left w:val="single" w:sz="4" w:space="0" w:color="4472C4"/>
              <w:bottom w:val="single" w:sz="4" w:space="0" w:color="4472C4"/>
              <w:right w:val="single" w:sz="4" w:space="0" w:color="4472C4"/>
            </w:tcBorders>
            <w:shd w:val="clear" w:color="auto" w:fill="4472C4"/>
          </w:tcPr>
          <w:p w14:paraId="67BD5F99" w14:textId="77777777" w:rsidR="00A33E6D" w:rsidRPr="00185AAA" w:rsidRDefault="00A33E6D" w:rsidP="006F3A4B">
            <w:pPr>
              <w:tabs>
                <w:tab w:val="left" w:pos="3696"/>
              </w:tabs>
              <w:ind w:right="-180"/>
              <w:rPr>
                <w:sz w:val="22"/>
                <w:szCs w:val="22"/>
                <w:lang w:val="en-GB"/>
              </w:rPr>
            </w:pPr>
            <w:r w:rsidRPr="00185AAA">
              <w:rPr>
                <w:rFonts w:cs="Calibri"/>
                <w:b/>
                <w:color w:val="FFFFFF"/>
                <w:sz w:val="22"/>
                <w:szCs w:val="22"/>
                <w:lang w:val="en-GB"/>
              </w:rPr>
              <w:t>Deliverables</w:t>
            </w:r>
          </w:p>
        </w:tc>
        <w:tc>
          <w:tcPr>
            <w:tcW w:w="1006" w:type="dxa"/>
            <w:tcBorders>
              <w:top w:val="single" w:sz="4" w:space="0" w:color="4472C4"/>
              <w:left w:val="single" w:sz="4" w:space="0" w:color="4472C4"/>
              <w:bottom w:val="single" w:sz="4" w:space="0" w:color="4472C4"/>
              <w:right w:val="single" w:sz="4" w:space="0" w:color="4472C4"/>
            </w:tcBorders>
            <w:shd w:val="clear" w:color="auto" w:fill="4472C4"/>
          </w:tcPr>
          <w:p w14:paraId="67096DA3" w14:textId="77777777" w:rsidR="00A33E6D" w:rsidRPr="00185AAA" w:rsidRDefault="00A33E6D" w:rsidP="006F3A4B">
            <w:pPr>
              <w:tabs>
                <w:tab w:val="left" w:pos="3696"/>
              </w:tabs>
              <w:ind w:right="-180"/>
              <w:jc w:val="center"/>
              <w:rPr>
                <w:sz w:val="22"/>
                <w:szCs w:val="22"/>
                <w:lang w:val="en-GB"/>
              </w:rPr>
            </w:pPr>
            <w:r w:rsidRPr="00185AAA">
              <w:rPr>
                <w:rFonts w:cs="Calibri"/>
                <w:b/>
                <w:color w:val="FFFFFF"/>
                <w:sz w:val="22"/>
                <w:szCs w:val="22"/>
                <w:lang w:val="en-GB"/>
              </w:rPr>
              <w:t>Timeline</w:t>
            </w:r>
          </w:p>
        </w:tc>
        <w:tc>
          <w:tcPr>
            <w:tcW w:w="660" w:type="dxa"/>
            <w:tcBorders>
              <w:top w:val="single" w:sz="4" w:space="0" w:color="4472C4"/>
              <w:left w:val="single" w:sz="4" w:space="0" w:color="4472C4"/>
              <w:bottom w:val="single" w:sz="4" w:space="0" w:color="4472C4"/>
              <w:right w:val="single" w:sz="4" w:space="0" w:color="4472C4"/>
            </w:tcBorders>
            <w:shd w:val="clear" w:color="auto" w:fill="4472C4"/>
          </w:tcPr>
          <w:p w14:paraId="6FBFE61F" w14:textId="77777777" w:rsidR="00A33E6D" w:rsidRPr="00185AAA" w:rsidRDefault="00A33E6D" w:rsidP="006F3A4B">
            <w:pPr>
              <w:tabs>
                <w:tab w:val="left" w:pos="3696"/>
              </w:tabs>
              <w:ind w:right="-180"/>
              <w:rPr>
                <w:sz w:val="22"/>
                <w:szCs w:val="22"/>
                <w:lang w:val="en-GB"/>
              </w:rPr>
            </w:pPr>
            <w:r w:rsidRPr="00185AAA">
              <w:rPr>
                <w:rFonts w:cs="Calibri"/>
                <w:b/>
                <w:color w:val="FFFFFF"/>
                <w:sz w:val="22"/>
                <w:szCs w:val="22"/>
                <w:lang w:val="en-GB"/>
              </w:rPr>
              <w:t>LOE/</w:t>
            </w:r>
          </w:p>
          <w:p w14:paraId="2FEC2049" w14:textId="77777777" w:rsidR="00A33E6D" w:rsidRPr="00185AAA" w:rsidRDefault="00A33E6D" w:rsidP="006F3A4B">
            <w:pPr>
              <w:tabs>
                <w:tab w:val="left" w:pos="3696"/>
              </w:tabs>
              <w:ind w:right="-180"/>
              <w:rPr>
                <w:sz w:val="22"/>
                <w:szCs w:val="22"/>
                <w:lang w:val="en-GB"/>
              </w:rPr>
            </w:pPr>
            <w:r w:rsidRPr="00185AAA">
              <w:rPr>
                <w:rFonts w:cs="Calibri"/>
                <w:b/>
                <w:color w:val="FFFFFF"/>
                <w:sz w:val="22"/>
                <w:szCs w:val="22"/>
                <w:lang w:val="en-GB"/>
              </w:rPr>
              <w:t>Days</w:t>
            </w:r>
          </w:p>
        </w:tc>
      </w:tr>
      <w:tr w:rsidR="00690B1B" w:rsidRPr="00185AAA" w14:paraId="18C3BE02" w14:textId="77777777" w:rsidTr="0077474E">
        <w:trPr>
          <w:trHeight w:val="1700"/>
        </w:trPr>
        <w:tc>
          <w:tcPr>
            <w:tcW w:w="2009" w:type="dxa"/>
            <w:gridSpan w:val="2"/>
            <w:tcBorders>
              <w:top w:val="single" w:sz="4" w:space="0" w:color="8EAADB"/>
              <w:left w:val="single" w:sz="4" w:space="0" w:color="8EAADB"/>
              <w:bottom w:val="single" w:sz="4" w:space="0" w:color="8EAADB"/>
              <w:right w:val="single" w:sz="4" w:space="0" w:color="8EAADB"/>
            </w:tcBorders>
            <w:shd w:val="clear" w:color="auto" w:fill="D9E2F3"/>
          </w:tcPr>
          <w:p w14:paraId="4AA9CC2B" w14:textId="77777777" w:rsidR="00A33E6D" w:rsidRPr="00185AAA" w:rsidRDefault="00A33E6D" w:rsidP="006F3A4B">
            <w:pPr>
              <w:pStyle w:val="NoSpacing"/>
              <w:rPr>
                <w:b/>
                <w:bCs/>
                <w:lang w:val="en-GB"/>
              </w:rPr>
            </w:pPr>
          </w:p>
          <w:p w14:paraId="6F0A6AE7" w14:textId="5F700E8C" w:rsidR="00A33E6D" w:rsidRDefault="00A33E6D" w:rsidP="0077474E">
            <w:pPr>
              <w:pStyle w:val="NoSpacing"/>
              <w:ind w:right="354"/>
              <w:rPr>
                <w:b/>
                <w:bCs/>
                <w:lang w:val="en-GB"/>
              </w:rPr>
            </w:pPr>
          </w:p>
          <w:p w14:paraId="68EB05F8" w14:textId="6160455D" w:rsidR="00D869D5" w:rsidRPr="00185AAA" w:rsidRDefault="00690B1B" w:rsidP="006F3A4B">
            <w:pPr>
              <w:pStyle w:val="NoSpacing"/>
              <w:rPr>
                <w:b/>
                <w:bCs/>
                <w:lang w:val="en-GB"/>
              </w:rPr>
            </w:pPr>
            <w:r>
              <w:rPr>
                <w:b/>
                <w:bCs/>
                <w:lang w:val="en-GB"/>
              </w:rPr>
              <w:t>Introduction</w:t>
            </w:r>
          </w:p>
          <w:p w14:paraId="7DB42596" w14:textId="77777777" w:rsidR="00A33E6D" w:rsidRPr="00185AAA" w:rsidRDefault="00A33E6D" w:rsidP="006F3A4B">
            <w:pPr>
              <w:pStyle w:val="NoSpacing"/>
              <w:rPr>
                <w:b/>
                <w:bCs/>
                <w:lang w:val="en-GB"/>
              </w:rPr>
            </w:pPr>
          </w:p>
          <w:p w14:paraId="0312ED7F" w14:textId="24ED1BF7" w:rsidR="00A33E6D" w:rsidRPr="00185AAA" w:rsidRDefault="00A33E6D" w:rsidP="006F3A4B">
            <w:pPr>
              <w:pStyle w:val="NoSpacing"/>
              <w:rPr>
                <w:lang w:val="en-GB"/>
              </w:rPr>
            </w:pPr>
          </w:p>
        </w:tc>
        <w:tc>
          <w:tcPr>
            <w:tcW w:w="3986" w:type="dxa"/>
            <w:tcBorders>
              <w:top w:val="single" w:sz="4" w:space="0" w:color="8EAADB"/>
              <w:left w:val="single" w:sz="4" w:space="0" w:color="8EAADB"/>
              <w:bottom w:val="single" w:sz="4" w:space="0" w:color="8EAADB"/>
              <w:right w:val="single" w:sz="4" w:space="0" w:color="8EAADB"/>
            </w:tcBorders>
            <w:shd w:val="clear" w:color="auto" w:fill="D9E2F3"/>
          </w:tcPr>
          <w:p w14:paraId="70BF2FC1" w14:textId="4551D887" w:rsidR="00A87C42" w:rsidRPr="00A87C42" w:rsidRDefault="00A87C42" w:rsidP="00A33E6D">
            <w:pPr>
              <w:pStyle w:val="NoSpacing"/>
              <w:rPr>
                <w:lang w:val="en-GB"/>
              </w:rPr>
            </w:pPr>
            <w:r>
              <w:rPr>
                <w:lang w:val="en-GB"/>
              </w:rPr>
              <w:t xml:space="preserve">Desk review of scaling and tipping point documents, critique and recommendations of CTWWC concepts and theoretical frameworks, coordinate working groups, etc. with CTWWC and other key actors  </w:t>
            </w:r>
          </w:p>
        </w:tc>
        <w:tc>
          <w:tcPr>
            <w:tcW w:w="2211" w:type="dxa"/>
            <w:tcBorders>
              <w:top w:val="single" w:sz="4" w:space="0" w:color="8EAADB"/>
              <w:left w:val="single" w:sz="4" w:space="0" w:color="8EAADB"/>
              <w:bottom w:val="single" w:sz="4" w:space="0" w:color="8EAADB"/>
              <w:right w:val="single" w:sz="4" w:space="0" w:color="8EAADB"/>
            </w:tcBorders>
            <w:shd w:val="clear" w:color="auto" w:fill="D9E2F3"/>
          </w:tcPr>
          <w:p w14:paraId="7197F499" w14:textId="77777777" w:rsidR="00A33E6D" w:rsidRPr="00185AAA" w:rsidRDefault="00A33E6D" w:rsidP="006F3A4B">
            <w:pPr>
              <w:pStyle w:val="NoSpacing"/>
              <w:rPr>
                <w:lang w:val="en-GB"/>
              </w:rPr>
            </w:pPr>
          </w:p>
          <w:p w14:paraId="2733FC32" w14:textId="77777777" w:rsidR="00A33E6D" w:rsidRDefault="00A87C42" w:rsidP="0077474E">
            <w:pPr>
              <w:pStyle w:val="NoSpacing"/>
              <w:numPr>
                <w:ilvl w:val="0"/>
                <w:numId w:val="11"/>
              </w:numPr>
              <w:rPr>
                <w:lang w:val="en-GB"/>
              </w:rPr>
            </w:pPr>
            <w:r>
              <w:rPr>
                <w:lang w:val="en-GB"/>
              </w:rPr>
              <w:t xml:space="preserve">Critique and recommendations of CTWWC concepts and theoretical frameworks (that </w:t>
            </w:r>
            <w:r>
              <w:rPr>
                <w:lang w:val="en-GB"/>
              </w:rPr>
              <w:lastRenderedPageBreak/>
              <w:t xml:space="preserve">is based on desk review) </w:t>
            </w:r>
          </w:p>
          <w:p w14:paraId="49688930" w14:textId="7FAFBDBF" w:rsidR="00A87C42" w:rsidRPr="00185AAA" w:rsidRDefault="00A87C42" w:rsidP="0077474E">
            <w:pPr>
              <w:pStyle w:val="NoSpacing"/>
              <w:numPr>
                <w:ilvl w:val="0"/>
                <w:numId w:val="11"/>
              </w:numPr>
              <w:rPr>
                <w:lang w:val="en-GB"/>
              </w:rPr>
            </w:pPr>
            <w:r>
              <w:rPr>
                <w:lang w:val="en-GB"/>
              </w:rPr>
              <w:t xml:space="preserve">Plan for engagement and coordination for assignment </w:t>
            </w:r>
          </w:p>
        </w:tc>
        <w:tc>
          <w:tcPr>
            <w:tcW w:w="1006" w:type="dxa"/>
            <w:tcBorders>
              <w:top w:val="single" w:sz="4" w:space="0" w:color="8EAADB"/>
              <w:left w:val="single" w:sz="4" w:space="0" w:color="8EAADB"/>
              <w:bottom w:val="single" w:sz="4" w:space="0" w:color="8EAADB"/>
              <w:right w:val="single" w:sz="4" w:space="0" w:color="8EAADB"/>
            </w:tcBorders>
            <w:shd w:val="clear" w:color="auto" w:fill="D9E2F3"/>
          </w:tcPr>
          <w:p w14:paraId="4A63C231" w14:textId="77777777" w:rsidR="00A33E6D" w:rsidRPr="00185AAA" w:rsidRDefault="00A33E6D" w:rsidP="006F3A4B">
            <w:pPr>
              <w:pStyle w:val="NoSpacing"/>
              <w:rPr>
                <w:lang w:val="en-GB"/>
              </w:rPr>
            </w:pPr>
          </w:p>
          <w:p w14:paraId="42AF9408" w14:textId="77777777" w:rsidR="00A33E6D" w:rsidRPr="00185AAA" w:rsidRDefault="00A33E6D" w:rsidP="006F3A4B">
            <w:pPr>
              <w:pStyle w:val="NoSpacing"/>
              <w:rPr>
                <w:lang w:val="en-GB"/>
              </w:rPr>
            </w:pPr>
          </w:p>
          <w:p w14:paraId="64CED610" w14:textId="77777777" w:rsidR="00A33E6D" w:rsidRPr="00185AAA" w:rsidRDefault="00A33E6D" w:rsidP="006F3A4B">
            <w:pPr>
              <w:pStyle w:val="NoSpacing"/>
              <w:rPr>
                <w:lang w:val="en-GB"/>
              </w:rPr>
            </w:pPr>
          </w:p>
          <w:p w14:paraId="6DF717E0" w14:textId="77777777" w:rsidR="00A33E6D" w:rsidRPr="00185AAA" w:rsidRDefault="00A33E6D" w:rsidP="006F3A4B">
            <w:pPr>
              <w:pStyle w:val="NoSpacing"/>
              <w:rPr>
                <w:lang w:val="en-GB"/>
              </w:rPr>
            </w:pPr>
          </w:p>
          <w:p w14:paraId="3B5BD414" w14:textId="4DFC3F0E" w:rsidR="00A33E6D" w:rsidRPr="00185AAA" w:rsidRDefault="00272376" w:rsidP="006F3A4B">
            <w:pPr>
              <w:pStyle w:val="NoSpacing"/>
              <w:rPr>
                <w:lang w:val="en-GB"/>
              </w:rPr>
            </w:pPr>
            <w:r>
              <w:rPr>
                <w:lang w:val="en-GB"/>
              </w:rPr>
              <w:t>End April</w:t>
            </w:r>
          </w:p>
        </w:tc>
        <w:tc>
          <w:tcPr>
            <w:tcW w:w="660" w:type="dxa"/>
            <w:tcBorders>
              <w:top w:val="single" w:sz="4" w:space="0" w:color="8EAADB"/>
              <w:left w:val="single" w:sz="4" w:space="0" w:color="8EAADB"/>
              <w:bottom w:val="single" w:sz="4" w:space="0" w:color="8EAADB"/>
              <w:right w:val="single" w:sz="4" w:space="0" w:color="8EAADB"/>
            </w:tcBorders>
            <w:shd w:val="clear" w:color="auto" w:fill="D9E2F3"/>
          </w:tcPr>
          <w:p w14:paraId="4CE3C5BA" w14:textId="77777777" w:rsidR="00A33E6D" w:rsidRPr="00185AAA" w:rsidRDefault="00A33E6D" w:rsidP="006F3A4B">
            <w:pPr>
              <w:pStyle w:val="NoSpacing"/>
              <w:jc w:val="center"/>
              <w:rPr>
                <w:lang w:val="en-GB"/>
              </w:rPr>
            </w:pPr>
          </w:p>
          <w:p w14:paraId="7E12897B" w14:textId="77777777" w:rsidR="00A33E6D" w:rsidRPr="00185AAA" w:rsidRDefault="00A33E6D" w:rsidP="006F3A4B">
            <w:pPr>
              <w:pStyle w:val="NoSpacing"/>
              <w:rPr>
                <w:lang w:val="en-GB"/>
              </w:rPr>
            </w:pPr>
          </w:p>
          <w:p w14:paraId="28311E88" w14:textId="77777777" w:rsidR="00A33E6D" w:rsidRPr="00185AAA" w:rsidRDefault="00A33E6D" w:rsidP="006F3A4B">
            <w:pPr>
              <w:pStyle w:val="NoSpacing"/>
              <w:jc w:val="center"/>
              <w:rPr>
                <w:lang w:val="en-GB"/>
              </w:rPr>
            </w:pPr>
          </w:p>
          <w:p w14:paraId="7F6D2224" w14:textId="1484444E" w:rsidR="00A33E6D" w:rsidRPr="00185AAA" w:rsidRDefault="00E33061" w:rsidP="006F3A4B">
            <w:pPr>
              <w:pStyle w:val="NoSpacing"/>
              <w:jc w:val="center"/>
              <w:rPr>
                <w:lang w:val="en-GB"/>
              </w:rPr>
            </w:pPr>
            <w:r>
              <w:rPr>
                <w:lang w:val="en-GB"/>
              </w:rPr>
              <w:t>5</w:t>
            </w:r>
          </w:p>
        </w:tc>
      </w:tr>
      <w:tr w:rsidR="00690B1B" w:rsidRPr="00185AAA" w14:paraId="7CD25A73" w14:textId="77777777" w:rsidTr="0077474E">
        <w:trPr>
          <w:trHeight w:val="1700"/>
        </w:trPr>
        <w:tc>
          <w:tcPr>
            <w:tcW w:w="2009" w:type="dxa"/>
            <w:gridSpan w:val="2"/>
            <w:tcBorders>
              <w:top w:val="single" w:sz="4" w:space="0" w:color="8EAADB"/>
              <w:left w:val="single" w:sz="4" w:space="0" w:color="8EAADB"/>
              <w:bottom w:val="single" w:sz="4" w:space="0" w:color="8EAADB"/>
              <w:right w:val="single" w:sz="4" w:space="0" w:color="8EAADB"/>
            </w:tcBorders>
            <w:shd w:val="clear" w:color="auto" w:fill="auto"/>
          </w:tcPr>
          <w:p w14:paraId="285D212E" w14:textId="77777777" w:rsidR="00A33E6D" w:rsidRPr="00185AAA" w:rsidRDefault="00A33E6D" w:rsidP="006F3A4B">
            <w:pPr>
              <w:pStyle w:val="NoSpacing"/>
              <w:rPr>
                <w:b/>
                <w:bCs/>
                <w:lang w:val="en-GB"/>
              </w:rPr>
            </w:pPr>
          </w:p>
          <w:p w14:paraId="17CE9C02" w14:textId="4365DBC2" w:rsidR="00A33E6D" w:rsidRDefault="00A33E6D" w:rsidP="006F3A4B">
            <w:pPr>
              <w:pStyle w:val="NoSpacing"/>
              <w:rPr>
                <w:b/>
                <w:bCs/>
                <w:lang w:val="en-GB"/>
              </w:rPr>
            </w:pPr>
          </w:p>
          <w:p w14:paraId="35AC6E47" w14:textId="340B028E" w:rsidR="00D869D5" w:rsidRPr="00185AAA" w:rsidRDefault="00D869D5" w:rsidP="006F3A4B">
            <w:pPr>
              <w:pStyle w:val="NoSpacing"/>
              <w:rPr>
                <w:b/>
                <w:bCs/>
                <w:lang w:val="en-GB"/>
              </w:rPr>
            </w:pPr>
            <w:r>
              <w:rPr>
                <w:b/>
                <w:bCs/>
                <w:lang w:val="en-GB"/>
              </w:rPr>
              <w:t>Facilitation</w:t>
            </w:r>
          </w:p>
          <w:p w14:paraId="7D03C39C" w14:textId="3756A501" w:rsidR="00A33E6D" w:rsidRPr="00185AAA" w:rsidRDefault="00A33E6D" w:rsidP="006F3A4B">
            <w:pPr>
              <w:pStyle w:val="NoSpacing"/>
              <w:rPr>
                <w:lang w:val="en-GB"/>
              </w:rPr>
            </w:pPr>
          </w:p>
        </w:tc>
        <w:tc>
          <w:tcPr>
            <w:tcW w:w="3986" w:type="dxa"/>
            <w:tcBorders>
              <w:top w:val="single" w:sz="4" w:space="0" w:color="8EAADB"/>
              <w:left w:val="single" w:sz="4" w:space="0" w:color="8EAADB"/>
              <w:bottom w:val="single" w:sz="4" w:space="0" w:color="8EAADB"/>
              <w:right w:val="single" w:sz="4" w:space="0" w:color="8EAADB"/>
            </w:tcBorders>
            <w:shd w:val="clear" w:color="auto" w:fill="auto"/>
          </w:tcPr>
          <w:p w14:paraId="446DDC7A" w14:textId="5F2DBF8F" w:rsidR="00A87C42" w:rsidRDefault="00A87C42" w:rsidP="0077474E">
            <w:pPr>
              <w:pStyle w:val="NoSpacing"/>
              <w:numPr>
                <w:ilvl w:val="0"/>
                <w:numId w:val="12"/>
              </w:numPr>
              <w:rPr>
                <w:lang w:val="en-GB"/>
              </w:rPr>
            </w:pPr>
            <w:r>
              <w:rPr>
                <w:lang w:val="en-GB"/>
              </w:rPr>
              <w:t xml:space="preserve">Present to and facilitate meetings with CTWWC teams (Senior Management; Influence, Learning and Engagement </w:t>
            </w:r>
            <w:r w:rsidR="00690B1B">
              <w:rPr>
                <w:lang w:val="en-GB"/>
              </w:rPr>
              <w:t xml:space="preserve">(ILE) </w:t>
            </w:r>
            <w:r>
              <w:rPr>
                <w:lang w:val="en-GB"/>
              </w:rPr>
              <w:t>Team; CTWWC country teams</w:t>
            </w:r>
            <w:r w:rsidR="00690B1B">
              <w:rPr>
                <w:lang w:val="en-GB"/>
              </w:rPr>
              <w:t>; CTWWC Steering Committee</w:t>
            </w:r>
            <w:r>
              <w:rPr>
                <w:lang w:val="en-GB"/>
              </w:rPr>
              <w:t>) related to scaling</w:t>
            </w:r>
            <w:r w:rsidR="00690B1B">
              <w:rPr>
                <w:lang w:val="en-GB"/>
              </w:rPr>
              <w:t xml:space="preserve"> (may include FY22 planning sessions)</w:t>
            </w:r>
          </w:p>
          <w:p w14:paraId="0A1CBF72" w14:textId="00DD973C" w:rsidR="00690B1B" w:rsidRPr="0077474E" w:rsidRDefault="00690B1B" w:rsidP="0077474E">
            <w:pPr>
              <w:pStyle w:val="NoSpacing"/>
              <w:numPr>
                <w:ilvl w:val="0"/>
                <w:numId w:val="12"/>
              </w:numPr>
              <w:rPr>
                <w:lang w:val="en-GB"/>
              </w:rPr>
            </w:pPr>
            <w:r>
              <w:rPr>
                <w:lang w:val="en-GB"/>
              </w:rPr>
              <w:t xml:space="preserve">Work with CTWWC country teams and the ILE team to discuss, understand and build consensus on scaling concepts and how to implement </w:t>
            </w:r>
          </w:p>
        </w:tc>
        <w:tc>
          <w:tcPr>
            <w:tcW w:w="2211" w:type="dxa"/>
            <w:tcBorders>
              <w:top w:val="single" w:sz="4" w:space="0" w:color="8EAADB"/>
              <w:left w:val="single" w:sz="4" w:space="0" w:color="8EAADB"/>
              <w:bottom w:val="single" w:sz="4" w:space="0" w:color="8EAADB"/>
              <w:right w:val="single" w:sz="4" w:space="0" w:color="8EAADB"/>
            </w:tcBorders>
            <w:shd w:val="clear" w:color="auto" w:fill="auto"/>
          </w:tcPr>
          <w:p w14:paraId="0BE91F75" w14:textId="77777777" w:rsidR="00A33E6D" w:rsidRPr="00185AAA" w:rsidRDefault="00A33E6D" w:rsidP="006F3A4B">
            <w:pPr>
              <w:pStyle w:val="NoSpacing"/>
              <w:rPr>
                <w:lang w:val="en-GB"/>
              </w:rPr>
            </w:pPr>
          </w:p>
          <w:p w14:paraId="1BC6134F" w14:textId="77777777" w:rsidR="00A33E6D" w:rsidRDefault="00690B1B" w:rsidP="00690B1B">
            <w:pPr>
              <w:pStyle w:val="NoSpacing"/>
              <w:numPr>
                <w:ilvl w:val="0"/>
                <w:numId w:val="11"/>
              </w:numPr>
              <w:rPr>
                <w:lang w:val="en-GB"/>
              </w:rPr>
            </w:pPr>
            <w:r>
              <w:rPr>
                <w:lang w:val="en-GB"/>
              </w:rPr>
              <w:t>PowerPoint slides for all presentations</w:t>
            </w:r>
          </w:p>
          <w:p w14:paraId="6AB0B897" w14:textId="44E4EAE8" w:rsidR="00690B1B" w:rsidRPr="00185AAA" w:rsidRDefault="00690B1B" w:rsidP="0077474E">
            <w:pPr>
              <w:pStyle w:val="NoSpacing"/>
              <w:numPr>
                <w:ilvl w:val="0"/>
                <w:numId w:val="11"/>
              </w:numPr>
              <w:rPr>
                <w:lang w:val="en-GB"/>
              </w:rPr>
            </w:pPr>
            <w:r>
              <w:rPr>
                <w:lang w:val="en-GB"/>
              </w:rPr>
              <w:t>Possible pre- and post- evaluations on knowledge of scaling and tipping point with CTWWC staff</w:t>
            </w:r>
          </w:p>
        </w:tc>
        <w:tc>
          <w:tcPr>
            <w:tcW w:w="1006" w:type="dxa"/>
            <w:tcBorders>
              <w:top w:val="single" w:sz="4" w:space="0" w:color="8EAADB"/>
              <w:left w:val="single" w:sz="4" w:space="0" w:color="8EAADB"/>
              <w:bottom w:val="single" w:sz="4" w:space="0" w:color="8EAADB"/>
              <w:right w:val="single" w:sz="4" w:space="0" w:color="8EAADB"/>
            </w:tcBorders>
            <w:shd w:val="clear" w:color="auto" w:fill="auto"/>
          </w:tcPr>
          <w:p w14:paraId="18A67936" w14:textId="77777777" w:rsidR="00A33E6D" w:rsidRPr="00185AAA" w:rsidRDefault="00A33E6D" w:rsidP="006F3A4B">
            <w:pPr>
              <w:pStyle w:val="NoSpacing"/>
              <w:rPr>
                <w:lang w:val="en-GB"/>
              </w:rPr>
            </w:pPr>
          </w:p>
          <w:p w14:paraId="4584C5DD" w14:textId="77777777" w:rsidR="00A33E6D" w:rsidRPr="00185AAA" w:rsidRDefault="00A33E6D" w:rsidP="006F3A4B">
            <w:pPr>
              <w:pStyle w:val="NoSpacing"/>
              <w:rPr>
                <w:lang w:val="en-GB"/>
              </w:rPr>
            </w:pPr>
          </w:p>
          <w:p w14:paraId="11A78070" w14:textId="77777777" w:rsidR="00A33E6D" w:rsidRPr="00185AAA" w:rsidRDefault="00A33E6D" w:rsidP="006F3A4B">
            <w:pPr>
              <w:pStyle w:val="NoSpacing"/>
              <w:rPr>
                <w:lang w:val="en-GB"/>
              </w:rPr>
            </w:pPr>
          </w:p>
          <w:p w14:paraId="61F6F14C" w14:textId="322917AB" w:rsidR="00A33E6D" w:rsidRPr="00185AAA" w:rsidRDefault="00E33061" w:rsidP="006F3A4B">
            <w:pPr>
              <w:pStyle w:val="NoSpacing"/>
              <w:rPr>
                <w:lang w:val="en-GB"/>
              </w:rPr>
            </w:pPr>
            <w:r>
              <w:rPr>
                <w:lang w:val="en-GB"/>
              </w:rPr>
              <w:t xml:space="preserve">May – </w:t>
            </w:r>
            <w:r w:rsidR="00272376">
              <w:rPr>
                <w:lang w:val="en-GB"/>
              </w:rPr>
              <w:t>June</w:t>
            </w:r>
            <w:r>
              <w:rPr>
                <w:lang w:val="en-GB"/>
              </w:rPr>
              <w:t xml:space="preserve">  </w:t>
            </w:r>
          </w:p>
        </w:tc>
        <w:tc>
          <w:tcPr>
            <w:tcW w:w="660" w:type="dxa"/>
            <w:tcBorders>
              <w:top w:val="single" w:sz="4" w:space="0" w:color="8EAADB"/>
              <w:left w:val="single" w:sz="4" w:space="0" w:color="8EAADB"/>
              <w:bottom w:val="single" w:sz="4" w:space="0" w:color="8EAADB"/>
              <w:right w:val="single" w:sz="4" w:space="0" w:color="8EAADB"/>
            </w:tcBorders>
            <w:shd w:val="clear" w:color="auto" w:fill="auto"/>
          </w:tcPr>
          <w:p w14:paraId="5993DBAE" w14:textId="77777777" w:rsidR="00A33E6D" w:rsidRPr="00185AAA" w:rsidRDefault="00A33E6D" w:rsidP="006F3A4B">
            <w:pPr>
              <w:pStyle w:val="NoSpacing"/>
              <w:jc w:val="center"/>
              <w:rPr>
                <w:lang w:val="en-GB"/>
              </w:rPr>
            </w:pPr>
          </w:p>
          <w:p w14:paraId="185F91B5" w14:textId="77777777" w:rsidR="00A33E6D" w:rsidRPr="00185AAA" w:rsidRDefault="00A33E6D" w:rsidP="006F3A4B">
            <w:pPr>
              <w:pStyle w:val="NoSpacing"/>
              <w:jc w:val="center"/>
              <w:rPr>
                <w:lang w:val="en-GB"/>
              </w:rPr>
            </w:pPr>
          </w:p>
          <w:p w14:paraId="25658B05" w14:textId="77777777" w:rsidR="00A33E6D" w:rsidRPr="00185AAA" w:rsidRDefault="00A33E6D" w:rsidP="006F3A4B">
            <w:pPr>
              <w:pStyle w:val="NoSpacing"/>
              <w:jc w:val="center"/>
              <w:rPr>
                <w:lang w:val="en-GB"/>
              </w:rPr>
            </w:pPr>
          </w:p>
          <w:p w14:paraId="4393167C" w14:textId="0D856862" w:rsidR="00A33E6D" w:rsidRPr="00185AAA" w:rsidRDefault="00272376" w:rsidP="006F3A4B">
            <w:pPr>
              <w:pStyle w:val="NoSpacing"/>
              <w:jc w:val="center"/>
              <w:rPr>
                <w:lang w:val="en-GB"/>
              </w:rPr>
            </w:pPr>
            <w:r>
              <w:rPr>
                <w:lang w:val="en-GB"/>
              </w:rPr>
              <w:t>15</w:t>
            </w:r>
          </w:p>
        </w:tc>
      </w:tr>
      <w:tr w:rsidR="00690B1B" w:rsidRPr="00185AAA" w14:paraId="722C93E5" w14:textId="77777777" w:rsidTr="0077474E">
        <w:trPr>
          <w:trHeight w:val="1835"/>
        </w:trPr>
        <w:tc>
          <w:tcPr>
            <w:tcW w:w="2009" w:type="dxa"/>
            <w:gridSpan w:val="2"/>
            <w:tcBorders>
              <w:top w:val="single" w:sz="4" w:space="0" w:color="8EAADB"/>
              <w:left w:val="single" w:sz="4" w:space="0" w:color="8EAADB"/>
              <w:bottom w:val="single" w:sz="4" w:space="0" w:color="8EAADB"/>
              <w:right w:val="single" w:sz="4" w:space="0" w:color="8EAADB"/>
            </w:tcBorders>
            <w:shd w:val="clear" w:color="auto" w:fill="D9E2F3"/>
          </w:tcPr>
          <w:p w14:paraId="01B5DFB7" w14:textId="77777777" w:rsidR="00A33E6D" w:rsidRDefault="00A33E6D" w:rsidP="00D869D5">
            <w:pPr>
              <w:spacing w:line="276" w:lineRule="auto"/>
              <w:rPr>
                <w:b/>
                <w:bCs/>
                <w:lang w:val="en-GB"/>
              </w:rPr>
            </w:pPr>
          </w:p>
          <w:p w14:paraId="6AD3CDED" w14:textId="77777777" w:rsidR="00D869D5" w:rsidRDefault="00D869D5" w:rsidP="00D869D5">
            <w:pPr>
              <w:spacing w:line="276" w:lineRule="auto"/>
              <w:rPr>
                <w:b/>
                <w:bCs/>
                <w:lang w:val="en-GB"/>
              </w:rPr>
            </w:pPr>
          </w:p>
          <w:p w14:paraId="07272C2D" w14:textId="63FB3009" w:rsidR="00D869D5" w:rsidRPr="00185AAA" w:rsidRDefault="00D869D5" w:rsidP="00D869D5">
            <w:pPr>
              <w:spacing w:line="276" w:lineRule="auto"/>
              <w:rPr>
                <w:b/>
                <w:bCs/>
                <w:lang w:val="en-GB"/>
              </w:rPr>
            </w:pPr>
            <w:r>
              <w:rPr>
                <w:b/>
                <w:bCs/>
                <w:lang w:val="en-GB"/>
              </w:rPr>
              <w:t>Scaling strategy/</w:t>
            </w:r>
            <w:proofErr w:type="spellStart"/>
            <w:r>
              <w:rPr>
                <w:b/>
                <w:bCs/>
                <w:lang w:val="en-GB"/>
              </w:rPr>
              <w:t>ies</w:t>
            </w:r>
            <w:proofErr w:type="spellEnd"/>
          </w:p>
        </w:tc>
        <w:tc>
          <w:tcPr>
            <w:tcW w:w="3986" w:type="dxa"/>
            <w:tcBorders>
              <w:top w:val="single" w:sz="4" w:space="0" w:color="8EAADB"/>
              <w:left w:val="single" w:sz="4" w:space="0" w:color="8EAADB"/>
              <w:bottom w:val="single" w:sz="4" w:space="0" w:color="8EAADB"/>
              <w:right w:val="single" w:sz="4" w:space="0" w:color="8EAADB"/>
            </w:tcBorders>
            <w:shd w:val="clear" w:color="auto" w:fill="D9E2F3"/>
          </w:tcPr>
          <w:p w14:paraId="72A5B607" w14:textId="2619BA74" w:rsidR="00E33061" w:rsidRDefault="00E33061" w:rsidP="00E33061">
            <w:pPr>
              <w:pStyle w:val="NoSpacing"/>
              <w:numPr>
                <w:ilvl w:val="0"/>
                <w:numId w:val="11"/>
              </w:numPr>
            </w:pPr>
            <w:r>
              <w:t xml:space="preserve">Working with CTWWC staff, develop guidance that articulates a process on how to </w:t>
            </w:r>
            <w:r w:rsidR="00272376">
              <w:t xml:space="preserve">continue to </w:t>
            </w:r>
            <w:r>
              <w:t xml:space="preserve">approach scaling at country levels and globally and regionally  </w:t>
            </w:r>
          </w:p>
          <w:p w14:paraId="6198FDC9" w14:textId="5F22C432" w:rsidR="00E33061" w:rsidRPr="0077474E" w:rsidRDefault="00E33061" w:rsidP="0077474E">
            <w:pPr>
              <w:pStyle w:val="NoSpacing"/>
              <w:numPr>
                <w:ilvl w:val="0"/>
                <w:numId w:val="11"/>
              </w:numPr>
            </w:pPr>
            <w:r w:rsidRPr="0077474E">
              <w:t>Support CTWWC country teams to work with government and other stakeholders to reach consensus on vision and scaling priorities</w:t>
            </w:r>
          </w:p>
          <w:p w14:paraId="454CED19" w14:textId="0B6DF57A" w:rsidR="00E33061" w:rsidRPr="0077474E" w:rsidRDefault="00E33061" w:rsidP="0077474E">
            <w:pPr>
              <w:pStyle w:val="NoSpacing"/>
              <w:numPr>
                <w:ilvl w:val="0"/>
                <w:numId w:val="11"/>
              </w:numPr>
            </w:pPr>
            <w:r w:rsidRPr="0077474E">
              <w:t>Develop an approach to monitor and evaluate progress towards the ‘tipping point’</w:t>
            </w:r>
          </w:p>
          <w:p w14:paraId="0CBDE56F" w14:textId="7D8261B1" w:rsidR="00D869D5" w:rsidRPr="00D869D5" w:rsidRDefault="00D869D5" w:rsidP="00E33061">
            <w:pPr>
              <w:pStyle w:val="NoSpacing"/>
              <w:rPr>
                <w:i/>
                <w:iCs/>
                <w:lang w:val="en-GB"/>
              </w:rPr>
            </w:pPr>
          </w:p>
        </w:tc>
        <w:tc>
          <w:tcPr>
            <w:tcW w:w="2211" w:type="dxa"/>
            <w:tcBorders>
              <w:top w:val="single" w:sz="4" w:space="0" w:color="8EAADB"/>
              <w:left w:val="single" w:sz="4" w:space="0" w:color="8EAADB"/>
              <w:bottom w:val="single" w:sz="4" w:space="0" w:color="8EAADB"/>
              <w:right w:val="single" w:sz="4" w:space="0" w:color="8EAADB"/>
            </w:tcBorders>
            <w:shd w:val="clear" w:color="auto" w:fill="D9E2F3"/>
          </w:tcPr>
          <w:p w14:paraId="44CA14B7" w14:textId="77777777" w:rsidR="00A33E6D" w:rsidRDefault="00E33061" w:rsidP="00E33061">
            <w:pPr>
              <w:pStyle w:val="NoSpacing"/>
              <w:numPr>
                <w:ilvl w:val="0"/>
                <w:numId w:val="11"/>
              </w:numPr>
              <w:rPr>
                <w:lang w:val="en-GB"/>
              </w:rPr>
            </w:pPr>
            <w:r>
              <w:rPr>
                <w:lang w:val="en-GB"/>
              </w:rPr>
              <w:t>Scaling and tipping point guidance document</w:t>
            </w:r>
          </w:p>
          <w:p w14:paraId="5FC31F50" w14:textId="2852BEF9" w:rsidR="00E33061" w:rsidRPr="00185AAA" w:rsidRDefault="00E33061" w:rsidP="0077474E">
            <w:pPr>
              <w:pStyle w:val="NoSpacing"/>
              <w:numPr>
                <w:ilvl w:val="0"/>
                <w:numId w:val="11"/>
              </w:numPr>
              <w:rPr>
                <w:lang w:val="en-GB"/>
              </w:rPr>
            </w:pPr>
            <w:r>
              <w:rPr>
                <w:lang w:val="en-GB"/>
              </w:rPr>
              <w:t>Plans/strategies to implement and monitor the tipping point for each CTWWC team (at country level and global/regional level)</w:t>
            </w:r>
          </w:p>
        </w:tc>
        <w:tc>
          <w:tcPr>
            <w:tcW w:w="1006"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41431B1" w14:textId="6A4758D7" w:rsidR="00A33E6D" w:rsidRPr="00185AAA" w:rsidRDefault="00E33061" w:rsidP="00E33061">
            <w:pPr>
              <w:pStyle w:val="NoSpacing"/>
              <w:rPr>
                <w:lang w:val="en-GB"/>
              </w:rPr>
            </w:pPr>
            <w:r>
              <w:rPr>
                <w:lang w:val="en-GB"/>
              </w:rPr>
              <w:t xml:space="preserve">June – </w:t>
            </w:r>
            <w:r w:rsidR="00272376">
              <w:rPr>
                <w:lang w:val="en-GB"/>
              </w:rPr>
              <w:t>September</w:t>
            </w:r>
          </w:p>
        </w:tc>
        <w:tc>
          <w:tcPr>
            <w:tcW w:w="660"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2EAE5CD8" w14:textId="6D24BA94" w:rsidR="00A33E6D" w:rsidRPr="00185AAA" w:rsidRDefault="00272376" w:rsidP="00E33061">
            <w:pPr>
              <w:pStyle w:val="NoSpacing"/>
              <w:rPr>
                <w:lang w:val="en-GB"/>
              </w:rPr>
            </w:pPr>
            <w:r>
              <w:rPr>
                <w:lang w:val="en-GB"/>
              </w:rPr>
              <w:t>20</w:t>
            </w:r>
          </w:p>
        </w:tc>
      </w:tr>
      <w:tr w:rsidR="00690B1B" w:rsidRPr="00185AAA" w14:paraId="3BE44BEC" w14:textId="77777777" w:rsidTr="0077474E">
        <w:tc>
          <w:tcPr>
            <w:tcW w:w="9872" w:type="dxa"/>
            <w:gridSpan w:val="6"/>
            <w:tcBorders>
              <w:top w:val="single" w:sz="4" w:space="0" w:color="8EAADB"/>
              <w:left w:val="single" w:sz="4" w:space="0" w:color="8EAADB"/>
              <w:bottom w:val="single" w:sz="4" w:space="0" w:color="8EAADB"/>
              <w:right w:val="single" w:sz="4" w:space="0" w:color="8EAADB"/>
            </w:tcBorders>
            <w:shd w:val="clear" w:color="auto" w:fill="auto"/>
          </w:tcPr>
          <w:p w14:paraId="3332B8B2" w14:textId="53352133" w:rsidR="00A33E6D" w:rsidRPr="00185AAA" w:rsidRDefault="00A33E6D" w:rsidP="006F3A4B">
            <w:pPr>
              <w:pStyle w:val="NoSpacing"/>
              <w:jc w:val="right"/>
              <w:rPr>
                <w:lang w:val="en-GB"/>
              </w:rPr>
            </w:pPr>
            <w:r w:rsidRPr="00185AAA">
              <w:rPr>
                <w:b/>
                <w:lang w:val="en-GB"/>
              </w:rPr>
              <w:t xml:space="preserve">Total: </w:t>
            </w:r>
            <w:r>
              <w:rPr>
                <w:b/>
                <w:lang w:val="en-GB"/>
              </w:rPr>
              <w:t xml:space="preserve">    </w:t>
            </w:r>
            <w:r w:rsidR="00E33061">
              <w:rPr>
                <w:b/>
                <w:lang w:val="en-GB"/>
              </w:rPr>
              <w:t>40</w:t>
            </w:r>
            <w:r w:rsidRPr="00185AAA">
              <w:rPr>
                <w:b/>
                <w:lang w:val="en-GB"/>
              </w:rPr>
              <w:t xml:space="preserve"> working days</w:t>
            </w:r>
          </w:p>
        </w:tc>
      </w:tr>
    </w:tbl>
    <w:p w14:paraId="42C73165" w14:textId="77777777" w:rsidR="003B6980" w:rsidRDefault="003B6980" w:rsidP="003B6980"/>
    <w:p w14:paraId="6EBED178" w14:textId="42086DD3" w:rsidR="003B6980" w:rsidRDefault="003B6980" w:rsidP="003B6980">
      <w:pPr>
        <w:ind w:left="-360" w:right="-720"/>
      </w:pPr>
      <w:r>
        <w:t xml:space="preserve">Please submit CVs and established rate to Beth Bradford at </w:t>
      </w:r>
      <w:hyperlink r:id="rId20" w:history="1">
        <w:r w:rsidRPr="00792BE5">
          <w:rPr>
            <w:rStyle w:val="Hyperlink"/>
          </w:rPr>
          <w:t>bbradford@maestral.org</w:t>
        </w:r>
      </w:hyperlink>
      <w:r>
        <w:t xml:space="preserve"> by April 15</w:t>
      </w:r>
      <w:r w:rsidRPr="00AD2E2D">
        <w:rPr>
          <w:vertAlign w:val="superscript"/>
        </w:rPr>
        <w:t>th</w:t>
      </w:r>
      <w:r>
        <w:t xml:space="preserve">. </w:t>
      </w:r>
      <w:r w:rsidRPr="008D45CC">
        <w:tab/>
      </w:r>
    </w:p>
    <w:p w14:paraId="2976EA5F" w14:textId="77777777" w:rsidR="003B6980" w:rsidRPr="00E41ABE" w:rsidRDefault="003B6980" w:rsidP="003B6980">
      <w:pPr>
        <w:pStyle w:val="NormalWeb"/>
        <w:shd w:val="clear" w:color="auto" w:fill="FFFFFF"/>
        <w:spacing w:before="0" w:beforeAutospacing="0" w:after="0" w:afterAutospacing="0"/>
        <w:ind w:left="-360" w:right="-720"/>
        <w:rPr>
          <w:rFonts w:asciiTheme="minorHAnsi" w:hAnsiTheme="minorHAnsi" w:cstheme="minorHAnsi"/>
          <w:color w:val="000000" w:themeColor="text1"/>
        </w:rPr>
      </w:pPr>
      <w:r w:rsidRPr="00E41ABE">
        <w:rPr>
          <w:rFonts w:asciiTheme="minorHAnsi" w:hAnsiTheme="minorHAnsi" w:cstheme="minorHAnsi"/>
          <w:color w:val="000000" w:themeColor="text1"/>
          <w:bdr w:val="none" w:sz="0" w:space="0" w:color="auto" w:frame="1"/>
        </w:rPr>
        <w:t>The minimum qualifications and skills required include:</w:t>
      </w:r>
    </w:p>
    <w:p w14:paraId="520A0911" w14:textId="4F89D5EE" w:rsidR="003B6980" w:rsidRPr="00E41ABE" w:rsidRDefault="003B6980" w:rsidP="003B6980">
      <w:pPr>
        <w:pStyle w:val="NormalWeb"/>
        <w:numPr>
          <w:ilvl w:val="0"/>
          <w:numId w:val="13"/>
        </w:numPr>
        <w:shd w:val="clear" w:color="auto" w:fill="FFFFFF"/>
        <w:spacing w:before="0" w:beforeAutospacing="0" w:after="0" w:afterAutospacing="0"/>
        <w:ind w:left="-360" w:right="-720" w:firstLine="0"/>
        <w:rPr>
          <w:rFonts w:asciiTheme="minorHAnsi" w:hAnsiTheme="minorHAnsi" w:cstheme="minorHAnsi"/>
          <w:color w:val="000000" w:themeColor="text1"/>
        </w:rPr>
      </w:pPr>
      <w:r w:rsidRPr="00E41ABE">
        <w:rPr>
          <w:rFonts w:asciiTheme="minorHAnsi" w:hAnsiTheme="minorHAnsi" w:cstheme="minorHAnsi"/>
          <w:color w:val="000000" w:themeColor="text1"/>
          <w:bdr w:val="none" w:sz="0" w:space="0" w:color="auto" w:frame="1"/>
        </w:rPr>
        <w:t xml:space="preserve">A university degree in social sciences, monitoring and evaluation, </w:t>
      </w:r>
      <w:r>
        <w:rPr>
          <w:rFonts w:asciiTheme="minorHAnsi" w:hAnsiTheme="minorHAnsi" w:cstheme="minorHAnsi"/>
          <w:color w:val="000000" w:themeColor="text1"/>
          <w:bdr w:val="none" w:sz="0" w:space="0" w:color="auto" w:frame="1"/>
        </w:rPr>
        <w:t xml:space="preserve">program management/development </w:t>
      </w:r>
      <w:r w:rsidRPr="00E41ABE">
        <w:rPr>
          <w:rFonts w:asciiTheme="minorHAnsi" w:hAnsiTheme="minorHAnsi" w:cstheme="minorHAnsi"/>
          <w:color w:val="000000" w:themeColor="text1"/>
          <w:bdr w:val="none" w:sz="0" w:space="0" w:color="auto" w:frame="1"/>
        </w:rPr>
        <w:t>or any relevant field.</w:t>
      </w:r>
    </w:p>
    <w:p w14:paraId="5F6A5291" w14:textId="77777777" w:rsidR="003B6980" w:rsidRPr="003B6980" w:rsidRDefault="003B6980" w:rsidP="003B6980">
      <w:pPr>
        <w:pStyle w:val="NormalWeb"/>
        <w:numPr>
          <w:ilvl w:val="0"/>
          <w:numId w:val="13"/>
        </w:numPr>
        <w:shd w:val="clear" w:color="auto" w:fill="FFFFFF"/>
        <w:spacing w:before="0" w:beforeAutospacing="0" w:after="0" w:afterAutospacing="0"/>
        <w:ind w:left="-360" w:right="-720" w:firstLine="0"/>
        <w:rPr>
          <w:rFonts w:asciiTheme="minorHAnsi" w:hAnsiTheme="minorHAnsi" w:cstheme="minorHAnsi"/>
          <w:color w:val="000000" w:themeColor="text1"/>
        </w:rPr>
      </w:pPr>
      <w:r w:rsidRPr="00E41ABE">
        <w:rPr>
          <w:rFonts w:asciiTheme="minorHAnsi" w:hAnsiTheme="minorHAnsi" w:cstheme="minorHAnsi"/>
          <w:color w:val="000000" w:themeColor="text1"/>
          <w:bdr w:val="none" w:sz="0" w:space="0" w:color="auto" w:frame="1"/>
        </w:rPr>
        <w:t xml:space="preserve">10 years’ experience of working in </w:t>
      </w:r>
      <w:r>
        <w:rPr>
          <w:rFonts w:asciiTheme="minorHAnsi" w:hAnsiTheme="minorHAnsi" w:cstheme="minorHAnsi"/>
          <w:color w:val="000000" w:themeColor="text1"/>
          <w:bdr w:val="none" w:sz="0" w:space="0" w:color="auto" w:frame="1"/>
        </w:rPr>
        <w:t xml:space="preserve">international development, </w:t>
      </w:r>
      <w:r w:rsidRPr="00E41ABE">
        <w:rPr>
          <w:rFonts w:asciiTheme="minorHAnsi" w:hAnsiTheme="minorHAnsi" w:cstheme="minorHAnsi"/>
          <w:color w:val="000000" w:themeColor="text1"/>
          <w:bdr w:val="none" w:sz="0" w:space="0" w:color="auto" w:frame="1"/>
        </w:rPr>
        <w:t>monitoring and evaluation</w:t>
      </w:r>
      <w:r>
        <w:rPr>
          <w:rFonts w:asciiTheme="minorHAnsi" w:hAnsiTheme="minorHAnsi" w:cstheme="minorHAnsi"/>
          <w:color w:val="000000" w:themeColor="text1"/>
          <w:bdr w:val="none" w:sz="0" w:space="0" w:color="auto" w:frame="1"/>
        </w:rPr>
        <w:t>.</w:t>
      </w:r>
    </w:p>
    <w:p w14:paraId="660AA0BF" w14:textId="3341B65F" w:rsidR="003B6980" w:rsidRPr="00E41ABE" w:rsidRDefault="003B6980" w:rsidP="003B6980">
      <w:pPr>
        <w:pStyle w:val="NormalWeb"/>
        <w:numPr>
          <w:ilvl w:val="0"/>
          <w:numId w:val="13"/>
        </w:numPr>
        <w:shd w:val="clear" w:color="auto" w:fill="FFFFFF"/>
        <w:spacing w:before="0" w:beforeAutospacing="0" w:after="0" w:afterAutospacing="0"/>
        <w:ind w:left="-360" w:right="-720" w:firstLine="0"/>
        <w:rPr>
          <w:rFonts w:asciiTheme="minorHAnsi" w:hAnsiTheme="minorHAnsi" w:cstheme="minorHAnsi"/>
          <w:color w:val="000000" w:themeColor="text1"/>
        </w:rPr>
      </w:pPr>
      <w:r>
        <w:rPr>
          <w:rFonts w:asciiTheme="minorHAnsi" w:hAnsiTheme="minorHAnsi" w:cstheme="minorHAnsi"/>
          <w:color w:val="000000" w:themeColor="text1"/>
        </w:rPr>
        <w:t>E</w:t>
      </w:r>
      <w:r w:rsidRPr="00E41ABE">
        <w:rPr>
          <w:rFonts w:asciiTheme="minorHAnsi" w:hAnsiTheme="minorHAnsi" w:cstheme="minorHAnsi"/>
          <w:color w:val="000000" w:themeColor="text1"/>
          <w:bdr w:val="none" w:sz="0" w:space="0" w:color="auto" w:frame="1"/>
        </w:rPr>
        <w:t>xperience in the child rights/child protection sector a strong plus.</w:t>
      </w:r>
    </w:p>
    <w:p w14:paraId="40C5BBD8" w14:textId="77777777" w:rsidR="003B6980" w:rsidRPr="00E41ABE" w:rsidRDefault="003B6980" w:rsidP="003B6980">
      <w:pPr>
        <w:pStyle w:val="NormalWeb"/>
        <w:numPr>
          <w:ilvl w:val="0"/>
          <w:numId w:val="13"/>
        </w:numPr>
        <w:shd w:val="clear" w:color="auto" w:fill="FFFFFF"/>
        <w:spacing w:before="0" w:beforeAutospacing="0" w:after="0" w:afterAutospacing="0"/>
        <w:ind w:left="-360" w:right="-720" w:firstLine="0"/>
        <w:rPr>
          <w:rFonts w:asciiTheme="minorHAnsi" w:hAnsiTheme="minorHAnsi" w:cstheme="minorHAnsi"/>
          <w:color w:val="000000" w:themeColor="text1"/>
        </w:rPr>
      </w:pPr>
      <w:r w:rsidRPr="00E41ABE">
        <w:rPr>
          <w:rFonts w:asciiTheme="minorHAnsi" w:hAnsiTheme="minorHAnsi" w:cstheme="minorHAnsi"/>
          <w:color w:val="000000" w:themeColor="text1"/>
          <w:bdr w:val="none" w:sz="0" w:space="0" w:color="auto" w:frame="1"/>
        </w:rPr>
        <w:t>Concrete evidence of past experience undertaking similar work.</w:t>
      </w:r>
    </w:p>
    <w:p w14:paraId="7CC41BFD" w14:textId="4830B043" w:rsidR="003B6980" w:rsidRPr="00E41ABE" w:rsidRDefault="003B6980" w:rsidP="003B6980">
      <w:pPr>
        <w:pStyle w:val="NormalWeb"/>
        <w:numPr>
          <w:ilvl w:val="0"/>
          <w:numId w:val="13"/>
        </w:numPr>
        <w:shd w:val="clear" w:color="auto" w:fill="FFFFFF"/>
        <w:spacing w:before="0" w:beforeAutospacing="0" w:after="0" w:afterAutospacing="0"/>
        <w:ind w:left="-360" w:right="-720" w:firstLine="0"/>
        <w:rPr>
          <w:rFonts w:asciiTheme="minorHAnsi" w:hAnsiTheme="minorHAnsi" w:cstheme="minorHAnsi"/>
          <w:color w:val="000000" w:themeColor="text1"/>
        </w:rPr>
      </w:pPr>
      <w:r w:rsidRPr="00E41ABE">
        <w:rPr>
          <w:rFonts w:asciiTheme="minorHAnsi" w:hAnsiTheme="minorHAnsi" w:cstheme="minorHAnsi"/>
          <w:color w:val="000000" w:themeColor="text1"/>
          <w:bdr w:val="none" w:sz="0" w:space="0" w:color="auto" w:frame="1"/>
        </w:rPr>
        <w:t xml:space="preserve">Extensive knowledge of </w:t>
      </w:r>
      <w:r>
        <w:rPr>
          <w:rFonts w:asciiTheme="minorHAnsi" w:hAnsiTheme="minorHAnsi" w:cstheme="minorHAnsi"/>
          <w:color w:val="000000" w:themeColor="text1"/>
          <w:bdr w:val="none" w:sz="0" w:space="0" w:color="auto" w:frame="1"/>
        </w:rPr>
        <w:t>scaling</w:t>
      </w:r>
      <w:r w:rsidRPr="00E41ABE">
        <w:rPr>
          <w:rFonts w:asciiTheme="minorHAnsi" w:hAnsiTheme="minorHAnsi" w:cstheme="minorHAnsi"/>
          <w:color w:val="000000" w:themeColor="text1"/>
          <w:bdr w:val="none" w:sz="0" w:space="0" w:color="auto" w:frame="1"/>
        </w:rPr>
        <w:t xml:space="preserve"> frameworks specifically for </w:t>
      </w:r>
      <w:r>
        <w:rPr>
          <w:rFonts w:asciiTheme="minorHAnsi" w:hAnsiTheme="minorHAnsi" w:cstheme="minorHAnsi"/>
          <w:color w:val="000000" w:themeColor="text1"/>
          <w:bdr w:val="none" w:sz="0" w:space="0" w:color="auto" w:frame="1"/>
        </w:rPr>
        <w:t>systems change.</w:t>
      </w:r>
    </w:p>
    <w:p w14:paraId="0A72C6E7" w14:textId="77777777" w:rsidR="003B6980" w:rsidRPr="00E41ABE" w:rsidRDefault="003B6980" w:rsidP="003B6980">
      <w:pPr>
        <w:pStyle w:val="NormalWeb"/>
        <w:numPr>
          <w:ilvl w:val="0"/>
          <w:numId w:val="13"/>
        </w:numPr>
        <w:shd w:val="clear" w:color="auto" w:fill="FFFFFF"/>
        <w:spacing w:before="0" w:beforeAutospacing="0" w:after="0" w:afterAutospacing="0"/>
        <w:ind w:left="-360" w:right="-720" w:firstLine="0"/>
        <w:rPr>
          <w:rFonts w:asciiTheme="minorHAnsi" w:hAnsiTheme="minorHAnsi" w:cstheme="minorHAnsi"/>
          <w:color w:val="000000" w:themeColor="text1"/>
        </w:rPr>
      </w:pPr>
      <w:r w:rsidRPr="00E41ABE">
        <w:rPr>
          <w:rFonts w:asciiTheme="minorHAnsi" w:hAnsiTheme="minorHAnsi" w:cstheme="minorHAnsi"/>
          <w:color w:val="000000" w:themeColor="text1"/>
          <w:bdr w:val="none" w:sz="0" w:space="0" w:color="auto" w:frame="1"/>
        </w:rPr>
        <w:t>Facilitation, research, analytical and writing skills (in English).</w:t>
      </w:r>
    </w:p>
    <w:p w14:paraId="7045477C" w14:textId="0EF153AB" w:rsidR="003B6980" w:rsidRPr="00E41ABE" w:rsidRDefault="003B6980" w:rsidP="003B6980">
      <w:pPr>
        <w:pStyle w:val="NormalWeb"/>
        <w:numPr>
          <w:ilvl w:val="0"/>
          <w:numId w:val="13"/>
        </w:numPr>
        <w:shd w:val="clear" w:color="auto" w:fill="FFFFFF"/>
        <w:spacing w:before="0" w:beforeAutospacing="0" w:after="0" w:afterAutospacing="0"/>
        <w:ind w:left="-360" w:right="-720" w:firstLine="0"/>
        <w:rPr>
          <w:rFonts w:asciiTheme="minorHAnsi" w:hAnsiTheme="minorHAnsi" w:cstheme="minorHAnsi"/>
          <w:color w:val="000000" w:themeColor="text1"/>
        </w:rPr>
      </w:pPr>
      <w:r w:rsidRPr="00E41ABE">
        <w:rPr>
          <w:rFonts w:asciiTheme="minorHAnsi" w:hAnsiTheme="minorHAnsi" w:cstheme="minorHAnsi"/>
          <w:color w:val="000000" w:themeColor="text1"/>
          <w:bdr w:val="none" w:sz="0" w:space="0" w:color="auto" w:frame="1"/>
        </w:rPr>
        <w:t xml:space="preserve">Demonstrated experience of working with </w:t>
      </w:r>
      <w:r>
        <w:rPr>
          <w:rFonts w:asciiTheme="minorHAnsi" w:hAnsiTheme="minorHAnsi" w:cstheme="minorHAnsi"/>
          <w:color w:val="000000" w:themeColor="text1"/>
          <w:bdr w:val="none" w:sz="0" w:space="0" w:color="auto" w:frame="1"/>
        </w:rPr>
        <w:t xml:space="preserve">a range of stakeholders and across contexts. </w:t>
      </w:r>
    </w:p>
    <w:p w14:paraId="3ED1D589" w14:textId="403F966C" w:rsidR="008F23EB" w:rsidRPr="003B6980" w:rsidRDefault="003B6980" w:rsidP="003B6980">
      <w:pPr>
        <w:pStyle w:val="NormalWeb"/>
        <w:numPr>
          <w:ilvl w:val="0"/>
          <w:numId w:val="13"/>
        </w:numPr>
        <w:shd w:val="clear" w:color="auto" w:fill="FFFFFF"/>
        <w:spacing w:before="0" w:beforeAutospacing="0" w:after="0" w:afterAutospacing="0"/>
        <w:ind w:left="-360" w:right="-720" w:firstLine="0"/>
        <w:rPr>
          <w:rFonts w:asciiTheme="minorHAnsi" w:hAnsiTheme="minorHAnsi" w:cstheme="minorHAnsi"/>
          <w:color w:val="000000" w:themeColor="text1"/>
        </w:rPr>
      </w:pPr>
      <w:r w:rsidRPr="00E41ABE">
        <w:rPr>
          <w:rFonts w:asciiTheme="minorHAnsi" w:hAnsiTheme="minorHAnsi" w:cstheme="minorHAnsi"/>
          <w:color w:val="000000" w:themeColor="text1"/>
          <w:bdr w:val="none" w:sz="0" w:space="0" w:color="auto" w:frame="1"/>
        </w:rPr>
        <w:t xml:space="preserve">Applicant </w:t>
      </w:r>
      <w:r>
        <w:rPr>
          <w:rFonts w:asciiTheme="minorHAnsi" w:hAnsiTheme="minorHAnsi" w:cstheme="minorHAnsi"/>
          <w:color w:val="000000" w:themeColor="text1"/>
          <w:bdr w:val="none" w:sz="0" w:space="0" w:color="auto" w:frame="1"/>
        </w:rPr>
        <w:t>should be available immediately.</w:t>
      </w:r>
    </w:p>
    <w:sectPr w:rsidR="008F23EB" w:rsidRPr="003B6980" w:rsidSect="00167C68">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2AE65" w14:textId="77777777" w:rsidR="003445EB" w:rsidRDefault="003445EB" w:rsidP="008F23EB">
      <w:r>
        <w:separator/>
      </w:r>
    </w:p>
  </w:endnote>
  <w:endnote w:type="continuationSeparator" w:id="0">
    <w:p w14:paraId="6126D560" w14:textId="77777777" w:rsidR="003445EB" w:rsidRDefault="003445EB" w:rsidP="008F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BA9AB" w14:textId="10BCEDF3" w:rsidR="00167C68" w:rsidRDefault="00167C68" w:rsidP="00167C68">
    <w:pPr>
      <w:pStyle w:val="Footer"/>
      <w:jc w:val="center"/>
    </w:pPr>
    <w:r>
      <w:rPr>
        <w:noProof/>
      </w:rPr>
      <w:drawing>
        <wp:inline distT="0" distB="0" distL="0" distR="0" wp14:anchorId="3B013734" wp14:editId="206A2D60">
          <wp:extent cx="4656406" cy="501957"/>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4878826" cy="5259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A6D318" w14:textId="77777777" w:rsidR="003445EB" w:rsidRDefault="003445EB" w:rsidP="008F23EB">
      <w:r>
        <w:separator/>
      </w:r>
    </w:p>
  </w:footnote>
  <w:footnote w:type="continuationSeparator" w:id="0">
    <w:p w14:paraId="4D4FBF3E" w14:textId="77777777" w:rsidR="003445EB" w:rsidRDefault="003445EB" w:rsidP="008F23EB">
      <w:r>
        <w:continuationSeparator/>
      </w:r>
    </w:p>
  </w:footnote>
  <w:footnote w:id="1">
    <w:p w14:paraId="5EBA19CF" w14:textId="285A93FB" w:rsidR="00CE5304" w:rsidRDefault="00CE5304" w:rsidP="00CE5304">
      <w:pPr>
        <w:pStyle w:val="FootnoteText"/>
      </w:pPr>
      <w:r>
        <w:rPr>
          <w:rStyle w:val="FootnoteReference"/>
        </w:rPr>
        <w:footnoteRef/>
      </w:r>
      <w:r>
        <w:t xml:space="preserve"> </w:t>
      </w:r>
      <w:r w:rsidR="008F23EB" w:rsidRPr="008F23EB">
        <w:t>Process whereby governments, agencies and organizations expand, adapt and sustain successful policies, programs, and services in geographic space and over time to strengthen the effectiveness and impact of the child care system to ensure every child lives in a safe and nurturing family</w:t>
      </w:r>
    </w:p>
  </w:footnote>
  <w:footnote w:id="2">
    <w:p w14:paraId="3D4090EF" w14:textId="339D6A45" w:rsidR="00167C68" w:rsidRDefault="00167C68">
      <w:pPr>
        <w:pStyle w:val="FootnoteText"/>
      </w:pPr>
      <w:r>
        <w:rPr>
          <w:rStyle w:val="FootnoteReference"/>
        </w:rPr>
        <w:footnoteRef/>
      </w:r>
      <w:r>
        <w:t xml:space="preserve"> T</w:t>
      </w:r>
      <w:r w:rsidR="008F23EB" w:rsidRPr="008F23EB">
        <w:t>he point at which the series of changes become significant enough to cause larger, significant, inevitable change past the point of no return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BF41B" w14:textId="0060926B" w:rsidR="00D869D5" w:rsidRDefault="00D869D5">
    <w:pPr>
      <w:pStyle w:val="Header"/>
    </w:pPr>
    <w:r>
      <w:rPr>
        <w:rFonts w:ascii="Calibri" w:hAnsi="Calibri" w:cs="Calibri"/>
        <w:noProof/>
      </w:rPr>
      <w:drawing>
        <wp:anchor distT="0" distB="0" distL="114300" distR="114300" simplePos="0" relativeHeight="251659264" behindDoc="0" locked="0" layoutInCell="1" allowOverlap="1" wp14:anchorId="13DDC7D9" wp14:editId="6928F6D6">
          <wp:simplePos x="0" y="0"/>
          <wp:positionH relativeFrom="column">
            <wp:posOffset>1934307</wp:posOffset>
          </wp:positionH>
          <wp:positionV relativeFrom="paragraph">
            <wp:posOffset>-260252</wp:posOffset>
          </wp:positionV>
          <wp:extent cx="2095500" cy="87947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5500" cy="8794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962DC"/>
    <w:multiLevelType w:val="hybridMultilevel"/>
    <w:tmpl w:val="CAC21798"/>
    <w:lvl w:ilvl="0" w:tplc="8B302DE0">
      <w:start w:val="1"/>
      <w:numFmt w:val="bullet"/>
      <w:lvlText w:val="•"/>
      <w:lvlJc w:val="left"/>
      <w:pPr>
        <w:tabs>
          <w:tab w:val="num" w:pos="720"/>
        </w:tabs>
        <w:ind w:left="720" w:hanging="360"/>
      </w:pPr>
      <w:rPr>
        <w:rFonts w:ascii="Arial" w:hAnsi="Arial" w:hint="default"/>
      </w:rPr>
    </w:lvl>
    <w:lvl w:ilvl="1" w:tplc="547472F4" w:tentative="1">
      <w:start w:val="1"/>
      <w:numFmt w:val="bullet"/>
      <w:lvlText w:val="•"/>
      <w:lvlJc w:val="left"/>
      <w:pPr>
        <w:tabs>
          <w:tab w:val="num" w:pos="1440"/>
        </w:tabs>
        <w:ind w:left="1440" w:hanging="360"/>
      </w:pPr>
      <w:rPr>
        <w:rFonts w:ascii="Arial" w:hAnsi="Arial" w:hint="default"/>
      </w:rPr>
    </w:lvl>
    <w:lvl w:ilvl="2" w:tplc="7CB80192" w:tentative="1">
      <w:start w:val="1"/>
      <w:numFmt w:val="bullet"/>
      <w:lvlText w:val="•"/>
      <w:lvlJc w:val="left"/>
      <w:pPr>
        <w:tabs>
          <w:tab w:val="num" w:pos="2160"/>
        </w:tabs>
        <w:ind w:left="2160" w:hanging="360"/>
      </w:pPr>
      <w:rPr>
        <w:rFonts w:ascii="Arial" w:hAnsi="Arial" w:hint="default"/>
      </w:rPr>
    </w:lvl>
    <w:lvl w:ilvl="3" w:tplc="951601F2" w:tentative="1">
      <w:start w:val="1"/>
      <w:numFmt w:val="bullet"/>
      <w:lvlText w:val="•"/>
      <w:lvlJc w:val="left"/>
      <w:pPr>
        <w:tabs>
          <w:tab w:val="num" w:pos="2880"/>
        </w:tabs>
        <w:ind w:left="2880" w:hanging="360"/>
      </w:pPr>
      <w:rPr>
        <w:rFonts w:ascii="Arial" w:hAnsi="Arial" w:hint="default"/>
      </w:rPr>
    </w:lvl>
    <w:lvl w:ilvl="4" w:tplc="16D43F28" w:tentative="1">
      <w:start w:val="1"/>
      <w:numFmt w:val="bullet"/>
      <w:lvlText w:val="•"/>
      <w:lvlJc w:val="left"/>
      <w:pPr>
        <w:tabs>
          <w:tab w:val="num" w:pos="3600"/>
        </w:tabs>
        <w:ind w:left="3600" w:hanging="360"/>
      </w:pPr>
      <w:rPr>
        <w:rFonts w:ascii="Arial" w:hAnsi="Arial" w:hint="default"/>
      </w:rPr>
    </w:lvl>
    <w:lvl w:ilvl="5" w:tplc="463CFCE8" w:tentative="1">
      <w:start w:val="1"/>
      <w:numFmt w:val="bullet"/>
      <w:lvlText w:val="•"/>
      <w:lvlJc w:val="left"/>
      <w:pPr>
        <w:tabs>
          <w:tab w:val="num" w:pos="4320"/>
        </w:tabs>
        <w:ind w:left="4320" w:hanging="360"/>
      </w:pPr>
      <w:rPr>
        <w:rFonts w:ascii="Arial" w:hAnsi="Arial" w:hint="default"/>
      </w:rPr>
    </w:lvl>
    <w:lvl w:ilvl="6" w:tplc="FE827BF0" w:tentative="1">
      <w:start w:val="1"/>
      <w:numFmt w:val="bullet"/>
      <w:lvlText w:val="•"/>
      <w:lvlJc w:val="left"/>
      <w:pPr>
        <w:tabs>
          <w:tab w:val="num" w:pos="5040"/>
        </w:tabs>
        <w:ind w:left="5040" w:hanging="360"/>
      </w:pPr>
      <w:rPr>
        <w:rFonts w:ascii="Arial" w:hAnsi="Arial" w:hint="default"/>
      </w:rPr>
    </w:lvl>
    <w:lvl w:ilvl="7" w:tplc="059EBF28" w:tentative="1">
      <w:start w:val="1"/>
      <w:numFmt w:val="bullet"/>
      <w:lvlText w:val="•"/>
      <w:lvlJc w:val="left"/>
      <w:pPr>
        <w:tabs>
          <w:tab w:val="num" w:pos="5760"/>
        </w:tabs>
        <w:ind w:left="5760" w:hanging="360"/>
      </w:pPr>
      <w:rPr>
        <w:rFonts w:ascii="Arial" w:hAnsi="Arial" w:hint="default"/>
      </w:rPr>
    </w:lvl>
    <w:lvl w:ilvl="8" w:tplc="D97046D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0F2A4E"/>
    <w:multiLevelType w:val="hybridMultilevel"/>
    <w:tmpl w:val="75DC0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0B541F"/>
    <w:multiLevelType w:val="multilevel"/>
    <w:tmpl w:val="CDB8B8B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1F744C8"/>
    <w:multiLevelType w:val="multilevel"/>
    <w:tmpl w:val="C2527A10"/>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7742AB6"/>
    <w:multiLevelType w:val="hybridMultilevel"/>
    <w:tmpl w:val="8CEC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2A6936"/>
    <w:multiLevelType w:val="hybridMultilevel"/>
    <w:tmpl w:val="2550EE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5135CA"/>
    <w:multiLevelType w:val="hybridMultilevel"/>
    <w:tmpl w:val="73D64EF2"/>
    <w:lvl w:ilvl="0" w:tplc="0A1AF832">
      <w:start w:val="1"/>
      <w:numFmt w:val="bullet"/>
      <w:lvlText w:val="•"/>
      <w:lvlJc w:val="left"/>
      <w:pPr>
        <w:tabs>
          <w:tab w:val="num" w:pos="720"/>
        </w:tabs>
        <w:ind w:left="720" w:hanging="360"/>
      </w:pPr>
      <w:rPr>
        <w:rFonts w:ascii="Arial" w:hAnsi="Arial" w:hint="default"/>
      </w:rPr>
    </w:lvl>
    <w:lvl w:ilvl="1" w:tplc="37263C04" w:tentative="1">
      <w:start w:val="1"/>
      <w:numFmt w:val="bullet"/>
      <w:lvlText w:val="•"/>
      <w:lvlJc w:val="left"/>
      <w:pPr>
        <w:tabs>
          <w:tab w:val="num" w:pos="1440"/>
        </w:tabs>
        <w:ind w:left="1440" w:hanging="360"/>
      </w:pPr>
      <w:rPr>
        <w:rFonts w:ascii="Arial" w:hAnsi="Arial" w:hint="default"/>
      </w:rPr>
    </w:lvl>
    <w:lvl w:ilvl="2" w:tplc="DFF8F2BE" w:tentative="1">
      <w:start w:val="1"/>
      <w:numFmt w:val="bullet"/>
      <w:lvlText w:val="•"/>
      <w:lvlJc w:val="left"/>
      <w:pPr>
        <w:tabs>
          <w:tab w:val="num" w:pos="2160"/>
        </w:tabs>
        <w:ind w:left="2160" w:hanging="360"/>
      </w:pPr>
      <w:rPr>
        <w:rFonts w:ascii="Arial" w:hAnsi="Arial" w:hint="default"/>
      </w:rPr>
    </w:lvl>
    <w:lvl w:ilvl="3" w:tplc="E35AB074" w:tentative="1">
      <w:start w:val="1"/>
      <w:numFmt w:val="bullet"/>
      <w:lvlText w:val="•"/>
      <w:lvlJc w:val="left"/>
      <w:pPr>
        <w:tabs>
          <w:tab w:val="num" w:pos="2880"/>
        </w:tabs>
        <w:ind w:left="2880" w:hanging="360"/>
      </w:pPr>
      <w:rPr>
        <w:rFonts w:ascii="Arial" w:hAnsi="Arial" w:hint="default"/>
      </w:rPr>
    </w:lvl>
    <w:lvl w:ilvl="4" w:tplc="070247D6" w:tentative="1">
      <w:start w:val="1"/>
      <w:numFmt w:val="bullet"/>
      <w:lvlText w:val="•"/>
      <w:lvlJc w:val="left"/>
      <w:pPr>
        <w:tabs>
          <w:tab w:val="num" w:pos="3600"/>
        </w:tabs>
        <w:ind w:left="3600" w:hanging="360"/>
      </w:pPr>
      <w:rPr>
        <w:rFonts w:ascii="Arial" w:hAnsi="Arial" w:hint="default"/>
      </w:rPr>
    </w:lvl>
    <w:lvl w:ilvl="5" w:tplc="6400BBBA" w:tentative="1">
      <w:start w:val="1"/>
      <w:numFmt w:val="bullet"/>
      <w:lvlText w:val="•"/>
      <w:lvlJc w:val="left"/>
      <w:pPr>
        <w:tabs>
          <w:tab w:val="num" w:pos="4320"/>
        </w:tabs>
        <w:ind w:left="4320" w:hanging="360"/>
      </w:pPr>
      <w:rPr>
        <w:rFonts w:ascii="Arial" w:hAnsi="Arial" w:hint="default"/>
      </w:rPr>
    </w:lvl>
    <w:lvl w:ilvl="6" w:tplc="6CC8ADC6" w:tentative="1">
      <w:start w:val="1"/>
      <w:numFmt w:val="bullet"/>
      <w:lvlText w:val="•"/>
      <w:lvlJc w:val="left"/>
      <w:pPr>
        <w:tabs>
          <w:tab w:val="num" w:pos="5040"/>
        </w:tabs>
        <w:ind w:left="5040" w:hanging="360"/>
      </w:pPr>
      <w:rPr>
        <w:rFonts w:ascii="Arial" w:hAnsi="Arial" w:hint="default"/>
      </w:rPr>
    </w:lvl>
    <w:lvl w:ilvl="7" w:tplc="F3EC5720" w:tentative="1">
      <w:start w:val="1"/>
      <w:numFmt w:val="bullet"/>
      <w:lvlText w:val="•"/>
      <w:lvlJc w:val="left"/>
      <w:pPr>
        <w:tabs>
          <w:tab w:val="num" w:pos="5760"/>
        </w:tabs>
        <w:ind w:left="5760" w:hanging="360"/>
      </w:pPr>
      <w:rPr>
        <w:rFonts w:ascii="Arial" w:hAnsi="Arial" w:hint="default"/>
      </w:rPr>
    </w:lvl>
    <w:lvl w:ilvl="8" w:tplc="F290237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05C5CCE"/>
    <w:multiLevelType w:val="multilevel"/>
    <w:tmpl w:val="0E227AD2"/>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412A25DD"/>
    <w:multiLevelType w:val="hybridMultilevel"/>
    <w:tmpl w:val="B596D3A4"/>
    <w:lvl w:ilvl="0" w:tplc="C204ACA8">
      <w:start w:val="1"/>
      <w:numFmt w:val="bullet"/>
      <w:lvlText w:val="•"/>
      <w:lvlJc w:val="left"/>
      <w:pPr>
        <w:tabs>
          <w:tab w:val="num" w:pos="720"/>
        </w:tabs>
        <w:ind w:left="720" w:hanging="360"/>
      </w:pPr>
      <w:rPr>
        <w:rFonts w:ascii="Arial" w:hAnsi="Arial" w:hint="default"/>
      </w:rPr>
    </w:lvl>
    <w:lvl w:ilvl="1" w:tplc="4C2A3CC6" w:tentative="1">
      <w:start w:val="1"/>
      <w:numFmt w:val="bullet"/>
      <w:lvlText w:val="•"/>
      <w:lvlJc w:val="left"/>
      <w:pPr>
        <w:tabs>
          <w:tab w:val="num" w:pos="1440"/>
        </w:tabs>
        <w:ind w:left="1440" w:hanging="360"/>
      </w:pPr>
      <w:rPr>
        <w:rFonts w:ascii="Arial" w:hAnsi="Arial" w:hint="default"/>
      </w:rPr>
    </w:lvl>
    <w:lvl w:ilvl="2" w:tplc="FDD80ABE" w:tentative="1">
      <w:start w:val="1"/>
      <w:numFmt w:val="bullet"/>
      <w:lvlText w:val="•"/>
      <w:lvlJc w:val="left"/>
      <w:pPr>
        <w:tabs>
          <w:tab w:val="num" w:pos="2160"/>
        </w:tabs>
        <w:ind w:left="2160" w:hanging="360"/>
      </w:pPr>
      <w:rPr>
        <w:rFonts w:ascii="Arial" w:hAnsi="Arial" w:hint="default"/>
      </w:rPr>
    </w:lvl>
    <w:lvl w:ilvl="3" w:tplc="7ADA7B56" w:tentative="1">
      <w:start w:val="1"/>
      <w:numFmt w:val="bullet"/>
      <w:lvlText w:val="•"/>
      <w:lvlJc w:val="left"/>
      <w:pPr>
        <w:tabs>
          <w:tab w:val="num" w:pos="2880"/>
        </w:tabs>
        <w:ind w:left="2880" w:hanging="360"/>
      </w:pPr>
      <w:rPr>
        <w:rFonts w:ascii="Arial" w:hAnsi="Arial" w:hint="default"/>
      </w:rPr>
    </w:lvl>
    <w:lvl w:ilvl="4" w:tplc="1152E214" w:tentative="1">
      <w:start w:val="1"/>
      <w:numFmt w:val="bullet"/>
      <w:lvlText w:val="•"/>
      <w:lvlJc w:val="left"/>
      <w:pPr>
        <w:tabs>
          <w:tab w:val="num" w:pos="3600"/>
        </w:tabs>
        <w:ind w:left="3600" w:hanging="360"/>
      </w:pPr>
      <w:rPr>
        <w:rFonts w:ascii="Arial" w:hAnsi="Arial" w:hint="default"/>
      </w:rPr>
    </w:lvl>
    <w:lvl w:ilvl="5" w:tplc="A722415C" w:tentative="1">
      <w:start w:val="1"/>
      <w:numFmt w:val="bullet"/>
      <w:lvlText w:val="•"/>
      <w:lvlJc w:val="left"/>
      <w:pPr>
        <w:tabs>
          <w:tab w:val="num" w:pos="4320"/>
        </w:tabs>
        <w:ind w:left="4320" w:hanging="360"/>
      </w:pPr>
      <w:rPr>
        <w:rFonts w:ascii="Arial" w:hAnsi="Arial" w:hint="default"/>
      </w:rPr>
    </w:lvl>
    <w:lvl w:ilvl="6" w:tplc="F5D44C20" w:tentative="1">
      <w:start w:val="1"/>
      <w:numFmt w:val="bullet"/>
      <w:lvlText w:val="•"/>
      <w:lvlJc w:val="left"/>
      <w:pPr>
        <w:tabs>
          <w:tab w:val="num" w:pos="5040"/>
        </w:tabs>
        <w:ind w:left="5040" w:hanging="360"/>
      </w:pPr>
      <w:rPr>
        <w:rFonts w:ascii="Arial" w:hAnsi="Arial" w:hint="default"/>
      </w:rPr>
    </w:lvl>
    <w:lvl w:ilvl="7" w:tplc="F1001554" w:tentative="1">
      <w:start w:val="1"/>
      <w:numFmt w:val="bullet"/>
      <w:lvlText w:val="•"/>
      <w:lvlJc w:val="left"/>
      <w:pPr>
        <w:tabs>
          <w:tab w:val="num" w:pos="5760"/>
        </w:tabs>
        <w:ind w:left="5760" w:hanging="360"/>
      </w:pPr>
      <w:rPr>
        <w:rFonts w:ascii="Arial" w:hAnsi="Arial" w:hint="default"/>
      </w:rPr>
    </w:lvl>
    <w:lvl w:ilvl="8" w:tplc="77846C0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9DC31A6"/>
    <w:multiLevelType w:val="hybridMultilevel"/>
    <w:tmpl w:val="E68C08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06532C"/>
    <w:multiLevelType w:val="hybridMultilevel"/>
    <w:tmpl w:val="035C6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6652667"/>
    <w:multiLevelType w:val="hybridMultilevel"/>
    <w:tmpl w:val="0D385896"/>
    <w:lvl w:ilvl="0" w:tplc="0B9826F6">
      <w:start w:val="1"/>
      <w:numFmt w:val="bullet"/>
      <w:lvlText w:val="•"/>
      <w:lvlJc w:val="left"/>
      <w:pPr>
        <w:tabs>
          <w:tab w:val="num" w:pos="720"/>
        </w:tabs>
        <w:ind w:left="720" w:hanging="360"/>
      </w:pPr>
      <w:rPr>
        <w:rFonts w:ascii="Times New Roman" w:hAnsi="Times New Roman" w:hint="default"/>
      </w:rPr>
    </w:lvl>
    <w:lvl w:ilvl="1" w:tplc="21FC0DFA" w:tentative="1">
      <w:start w:val="1"/>
      <w:numFmt w:val="bullet"/>
      <w:lvlText w:val="•"/>
      <w:lvlJc w:val="left"/>
      <w:pPr>
        <w:tabs>
          <w:tab w:val="num" w:pos="1440"/>
        </w:tabs>
        <w:ind w:left="1440" w:hanging="360"/>
      </w:pPr>
      <w:rPr>
        <w:rFonts w:ascii="Times New Roman" w:hAnsi="Times New Roman" w:hint="default"/>
      </w:rPr>
    </w:lvl>
    <w:lvl w:ilvl="2" w:tplc="918C38D2" w:tentative="1">
      <w:start w:val="1"/>
      <w:numFmt w:val="bullet"/>
      <w:lvlText w:val="•"/>
      <w:lvlJc w:val="left"/>
      <w:pPr>
        <w:tabs>
          <w:tab w:val="num" w:pos="2160"/>
        </w:tabs>
        <w:ind w:left="2160" w:hanging="360"/>
      </w:pPr>
      <w:rPr>
        <w:rFonts w:ascii="Times New Roman" w:hAnsi="Times New Roman" w:hint="default"/>
      </w:rPr>
    </w:lvl>
    <w:lvl w:ilvl="3" w:tplc="5BA06532" w:tentative="1">
      <w:start w:val="1"/>
      <w:numFmt w:val="bullet"/>
      <w:lvlText w:val="•"/>
      <w:lvlJc w:val="left"/>
      <w:pPr>
        <w:tabs>
          <w:tab w:val="num" w:pos="2880"/>
        </w:tabs>
        <w:ind w:left="2880" w:hanging="360"/>
      </w:pPr>
      <w:rPr>
        <w:rFonts w:ascii="Times New Roman" w:hAnsi="Times New Roman" w:hint="default"/>
      </w:rPr>
    </w:lvl>
    <w:lvl w:ilvl="4" w:tplc="83EEE79E" w:tentative="1">
      <w:start w:val="1"/>
      <w:numFmt w:val="bullet"/>
      <w:lvlText w:val="•"/>
      <w:lvlJc w:val="left"/>
      <w:pPr>
        <w:tabs>
          <w:tab w:val="num" w:pos="3600"/>
        </w:tabs>
        <w:ind w:left="3600" w:hanging="360"/>
      </w:pPr>
      <w:rPr>
        <w:rFonts w:ascii="Times New Roman" w:hAnsi="Times New Roman" w:hint="default"/>
      </w:rPr>
    </w:lvl>
    <w:lvl w:ilvl="5" w:tplc="4636E94A" w:tentative="1">
      <w:start w:val="1"/>
      <w:numFmt w:val="bullet"/>
      <w:lvlText w:val="•"/>
      <w:lvlJc w:val="left"/>
      <w:pPr>
        <w:tabs>
          <w:tab w:val="num" w:pos="4320"/>
        </w:tabs>
        <w:ind w:left="4320" w:hanging="360"/>
      </w:pPr>
      <w:rPr>
        <w:rFonts w:ascii="Times New Roman" w:hAnsi="Times New Roman" w:hint="default"/>
      </w:rPr>
    </w:lvl>
    <w:lvl w:ilvl="6" w:tplc="37EE066C" w:tentative="1">
      <w:start w:val="1"/>
      <w:numFmt w:val="bullet"/>
      <w:lvlText w:val="•"/>
      <w:lvlJc w:val="left"/>
      <w:pPr>
        <w:tabs>
          <w:tab w:val="num" w:pos="5040"/>
        </w:tabs>
        <w:ind w:left="5040" w:hanging="360"/>
      </w:pPr>
      <w:rPr>
        <w:rFonts w:ascii="Times New Roman" w:hAnsi="Times New Roman" w:hint="default"/>
      </w:rPr>
    </w:lvl>
    <w:lvl w:ilvl="7" w:tplc="C8145956" w:tentative="1">
      <w:start w:val="1"/>
      <w:numFmt w:val="bullet"/>
      <w:lvlText w:val="•"/>
      <w:lvlJc w:val="left"/>
      <w:pPr>
        <w:tabs>
          <w:tab w:val="num" w:pos="5760"/>
        </w:tabs>
        <w:ind w:left="5760" w:hanging="360"/>
      </w:pPr>
      <w:rPr>
        <w:rFonts w:ascii="Times New Roman" w:hAnsi="Times New Roman" w:hint="default"/>
      </w:rPr>
    </w:lvl>
    <w:lvl w:ilvl="8" w:tplc="CE982EE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E6C4DB8"/>
    <w:multiLevelType w:val="hybridMultilevel"/>
    <w:tmpl w:val="7EDAE336"/>
    <w:lvl w:ilvl="0" w:tplc="38E6296C">
      <w:start w:val="1"/>
      <w:numFmt w:val="bullet"/>
      <w:lvlText w:val="•"/>
      <w:lvlJc w:val="left"/>
      <w:pPr>
        <w:tabs>
          <w:tab w:val="num" w:pos="720"/>
        </w:tabs>
        <w:ind w:left="720" w:hanging="360"/>
      </w:pPr>
      <w:rPr>
        <w:rFonts w:ascii="Times New Roman" w:hAnsi="Times New Roman" w:hint="default"/>
      </w:rPr>
    </w:lvl>
    <w:lvl w:ilvl="1" w:tplc="8656333E" w:tentative="1">
      <w:start w:val="1"/>
      <w:numFmt w:val="bullet"/>
      <w:lvlText w:val="•"/>
      <w:lvlJc w:val="left"/>
      <w:pPr>
        <w:tabs>
          <w:tab w:val="num" w:pos="1440"/>
        </w:tabs>
        <w:ind w:left="1440" w:hanging="360"/>
      </w:pPr>
      <w:rPr>
        <w:rFonts w:ascii="Times New Roman" w:hAnsi="Times New Roman" w:hint="default"/>
      </w:rPr>
    </w:lvl>
    <w:lvl w:ilvl="2" w:tplc="4DF06468" w:tentative="1">
      <w:start w:val="1"/>
      <w:numFmt w:val="bullet"/>
      <w:lvlText w:val="•"/>
      <w:lvlJc w:val="left"/>
      <w:pPr>
        <w:tabs>
          <w:tab w:val="num" w:pos="2160"/>
        </w:tabs>
        <w:ind w:left="2160" w:hanging="360"/>
      </w:pPr>
      <w:rPr>
        <w:rFonts w:ascii="Times New Roman" w:hAnsi="Times New Roman" w:hint="default"/>
      </w:rPr>
    </w:lvl>
    <w:lvl w:ilvl="3" w:tplc="89F2927C" w:tentative="1">
      <w:start w:val="1"/>
      <w:numFmt w:val="bullet"/>
      <w:lvlText w:val="•"/>
      <w:lvlJc w:val="left"/>
      <w:pPr>
        <w:tabs>
          <w:tab w:val="num" w:pos="2880"/>
        </w:tabs>
        <w:ind w:left="2880" w:hanging="360"/>
      </w:pPr>
      <w:rPr>
        <w:rFonts w:ascii="Times New Roman" w:hAnsi="Times New Roman" w:hint="default"/>
      </w:rPr>
    </w:lvl>
    <w:lvl w:ilvl="4" w:tplc="480C505E" w:tentative="1">
      <w:start w:val="1"/>
      <w:numFmt w:val="bullet"/>
      <w:lvlText w:val="•"/>
      <w:lvlJc w:val="left"/>
      <w:pPr>
        <w:tabs>
          <w:tab w:val="num" w:pos="3600"/>
        </w:tabs>
        <w:ind w:left="3600" w:hanging="360"/>
      </w:pPr>
      <w:rPr>
        <w:rFonts w:ascii="Times New Roman" w:hAnsi="Times New Roman" w:hint="default"/>
      </w:rPr>
    </w:lvl>
    <w:lvl w:ilvl="5" w:tplc="B62890DA" w:tentative="1">
      <w:start w:val="1"/>
      <w:numFmt w:val="bullet"/>
      <w:lvlText w:val="•"/>
      <w:lvlJc w:val="left"/>
      <w:pPr>
        <w:tabs>
          <w:tab w:val="num" w:pos="4320"/>
        </w:tabs>
        <w:ind w:left="4320" w:hanging="360"/>
      </w:pPr>
      <w:rPr>
        <w:rFonts w:ascii="Times New Roman" w:hAnsi="Times New Roman" w:hint="default"/>
      </w:rPr>
    </w:lvl>
    <w:lvl w:ilvl="6" w:tplc="71484E38" w:tentative="1">
      <w:start w:val="1"/>
      <w:numFmt w:val="bullet"/>
      <w:lvlText w:val="•"/>
      <w:lvlJc w:val="left"/>
      <w:pPr>
        <w:tabs>
          <w:tab w:val="num" w:pos="5040"/>
        </w:tabs>
        <w:ind w:left="5040" w:hanging="360"/>
      </w:pPr>
      <w:rPr>
        <w:rFonts w:ascii="Times New Roman" w:hAnsi="Times New Roman" w:hint="default"/>
      </w:rPr>
    </w:lvl>
    <w:lvl w:ilvl="7" w:tplc="0D34E552" w:tentative="1">
      <w:start w:val="1"/>
      <w:numFmt w:val="bullet"/>
      <w:lvlText w:val="•"/>
      <w:lvlJc w:val="left"/>
      <w:pPr>
        <w:tabs>
          <w:tab w:val="num" w:pos="5760"/>
        </w:tabs>
        <w:ind w:left="5760" w:hanging="360"/>
      </w:pPr>
      <w:rPr>
        <w:rFonts w:ascii="Times New Roman" w:hAnsi="Times New Roman" w:hint="default"/>
      </w:rPr>
    </w:lvl>
    <w:lvl w:ilvl="8" w:tplc="07268A1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6"/>
  </w:num>
  <w:num w:numId="3">
    <w:abstractNumId w:val="8"/>
  </w:num>
  <w:num w:numId="4">
    <w:abstractNumId w:val="9"/>
  </w:num>
  <w:num w:numId="5">
    <w:abstractNumId w:val="7"/>
  </w:num>
  <w:num w:numId="6">
    <w:abstractNumId w:val="3"/>
  </w:num>
  <w:num w:numId="7">
    <w:abstractNumId w:val="2"/>
  </w:num>
  <w:num w:numId="8">
    <w:abstractNumId w:val="5"/>
  </w:num>
  <w:num w:numId="9">
    <w:abstractNumId w:val="12"/>
  </w:num>
  <w:num w:numId="10">
    <w:abstractNumId w:val="11"/>
  </w:num>
  <w:num w:numId="11">
    <w:abstractNumId w:val="1"/>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140"/>
    <w:rsid w:val="000C331B"/>
    <w:rsid w:val="000C451A"/>
    <w:rsid w:val="00120F34"/>
    <w:rsid w:val="00124B12"/>
    <w:rsid w:val="00152C8A"/>
    <w:rsid w:val="00167C68"/>
    <w:rsid w:val="001B0FBA"/>
    <w:rsid w:val="001B6E4D"/>
    <w:rsid w:val="001C28F6"/>
    <w:rsid w:val="00261A0D"/>
    <w:rsid w:val="00272376"/>
    <w:rsid w:val="003445EB"/>
    <w:rsid w:val="003B6980"/>
    <w:rsid w:val="003E7B53"/>
    <w:rsid w:val="003F16E5"/>
    <w:rsid w:val="0040461B"/>
    <w:rsid w:val="00460A9E"/>
    <w:rsid w:val="004C7A66"/>
    <w:rsid w:val="0053728C"/>
    <w:rsid w:val="00690B1B"/>
    <w:rsid w:val="007211CA"/>
    <w:rsid w:val="00747070"/>
    <w:rsid w:val="007679AA"/>
    <w:rsid w:val="0077474E"/>
    <w:rsid w:val="0085042E"/>
    <w:rsid w:val="008666D3"/>
    <w:rsid w:val="00870783"/>
    <w:rsid w:val="00890140"/>
    <w:rsid w:val="008F23EB"/>
    <w:rsid w:val="00A33E6D"/>
    <w:rsid w:val="00A87C42"/>
    <w:rsid w:val="00A9760C"/>
    <w:rsid w:val="00B039CA"/>
    <w:rsid w:val="00BA37DE"/>
    <w:rsid w:val="00CE5304"/>
    <w:rsid w:val="00D869D5"/>
    <w:rsid w:val="00DE516F"/>
    <w:rsid w:val="00E33061"/>
    <w:rsid w:val="00EA21F0"/>
    <w:rsid w:val="00F60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BF86"/>
  <w15:chartTrackingRefBased/>
  <w15:docId w15:val="{91E979F2-BD1F-A64E-AE19-0740F8838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23EB"/>
    <w:rPr>
      <w:color w:val="0563C1" w:themeColor="hyperlink"/>
      <w:u w:val="single"/>
    </w:rPr>
  </w:style>
  <w:style w:type="character" w:styleId="UnresolvedMention">
    <w:name w:val="Unresolved Mention"/>
    <w:basedOn w:val="DefaultParagraphFont"/>
    <w:uiPriority w:val="99"/>
    <w:semiHidden/>
    <w:unhideWhenUsed/>
    <w:rsid w:val="008F23EB"/>
    <w:rPr>
      <w:color w:val="605E5C"/>
      <w:shd w:val="clear" w:color="auto" w:fill="E1DFDD"/>
    </w:rPr>
  </w:style>
  <w:style w:type="paragraph" w:styleId="ListParagraph">
    <w:name w:val="List Paragraph"/>
    <w:basedOn w:val="Normal"/>
    <w:link w:val="ListParagraphChar"/>
    <w:qFormat/>
    <w:rsid w:val="008F23EB"/>
    <w:pPr>
      <w:ind w:left="720"/>
      <w:contextualSpacing/>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8F23EB"/>
    <w:rPr>
      <w:sz w:val="20"/>
      <w:szCs w:val="20"/>
    </w:rPr>
  </w:style>
  <w:style w:type="character" w:customStyle="1" w:styleId="FootnoteTextChar">
    <w:name w:val="Footnote Text Char"/>
    <w:basedOn w:val="DefaultParagraphFont"/>
    <w:link w:val="FootnoteText"/>
    <w:uiPriority w:val="99"/>
    <w:semiHidden/>
    <w:rsid w:val="008F23EB"/>
    <w:rPr>
      <w:sz w:val="20"/>
      <w:szCs w:val="20"/>
    </w:rPr>
  </w:style>
  <w:style w:type="character" w:styleId="FootnoteReference">
    <w:name w:val="footnote reference"/>
    <w:basedOn w:val="DefaultParagraphFont"/>
    <w:uiPriority w:val="99"/>
    <w:semiHidden/>
    <w:unhideWhenUsed/>
    <w:rsid w:val="008F23EB"/>
    <w:rPr>
      <w:vertAlign w:val="superscript"/>
    </w:rPr>
  </w:style>
  <w:style w:type="character" w:customStyle="1" w:styleId="normaltextrun">
    <w:name w:val="normaltextrun"/>
    <w:basedOn w:val="DefaultParagraphFont"/>
    <w:rsid w:val="00CE5304"/>
  </w:style>
  <w:style w:type="paragraph" w:styleId="Header">
    <w:name w:val="header"/>
    <w:basedOn w:val="Normal"/>
    <w:link w:val="HeaderChar"/>
    <w:uiPriority w:val="99"/>
    <w:unhideWhenUsed/>
    <w:rsid w:val="00167C68"/>
    <w:pPr>
      <w:tabs>
        <w:tab w:val="center" w:pos="4680"/>
        <w:tab w:val="right" w:pos="9360"/>
      </w:tabs>
    </w:pPr>
  </w:style>
  <w:style w:type="character" w:customStyle="1" w:styleId="HeaderChar">
    <w:name w:val="Header Char"/>
    <w:basedOn w:val="DefaultParagraphFont"/>
    <w:link w:val="Header"/>
    <w:uiPriority w:val="99"/>
    <w:rsid w:val="00167C68"/>
  </w:style>
  <w:style w:type="paragraph" w:styleId="Footer">
    <w:name w:val="footer"/>
    <w:basedOn w:val="Normal"/>
    <w:link w:val="FooterChar"/>
    <w:uiPriority w:val="99"/>
    <w:unhideWhenUsed/>
    <w:rsid w:val="00167C68"/>
    <w:pPr>
      <w:tabs>
        <w:tab w:val="center" w:pos="4680"/>
        <w:tab w:val="right" w:pos="9360"/>
      </w:tabs>
    </w:pPr>
  </w:style>
  <w:style w:type="character" w:customStyle="1" w:styleId="FooterChar">
    <w:name w:val="Footer Char"/>
    <w:basedOn w:val="DefaultParagraphFont"/>
    <w:link w:val="Footer"/>
    <w:uiPriority w:val="99"/>
    <w:rsid w:val="00167C68"/>
  </w:style>
  <w:style w:type="paragraph" w:styleId="NoSpacing">
    <w:name w:val="No Spacing"/>
    <w:qFormat/>
    <w:rsid w:val="00A33E6D"/>
    <w:rPr>
      <w:sz w:val="22"/>
      <w:szCs w:val="22"/>
    </w:rPr>
  </w:style>
  <w:style w:type="character" w:customStyle="1" w:styleId="ListParagraphChar">
    <w:name w:val="List Paragraph Char"/>
    <w:link w:val="ListParagraph"/>
    <w:rsid w:val="00A33E6D"/>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211CA"/>
    <w:rPr>
      <w:sz w:val="16"/>
      <w:szCs w:val="16"/>
    </w:rPr>
  </w:style>
  <w:style w:type="paragraph" w:styleId="CommentText">
    <w:name w:val="annotation text"/>
    <w:basedOn w:val="Normal"/>
    <w:link w:val="CommentTextChar"/>
    <w:uiPriority w:val="99"/>
    <w:semiHidden/>
    <w:unhideWhenUsed/>
    <w:rsid w:val="007211CA"/>
    <w:rPr>
      <w:sz w:val="20"/>
      <w:szCs w:val="20"/>
    </w:rPr>
  </w:style>
  <w:style w:type="character" w:customStyle="1" w:styleId="CommentTextChar">
    <w:name w:val="Comment Text Char"/>
    <w:basedOn w:val="DefaultParagraphFont"/>
    <w:link w:val="CommentText"/>
    <w:uiPriority w:val="99"/>
    <w:semiHidden/>
    <w:rsid w:val="007211CA"/>
    <w:rPr>
      <w:sz w:val="20"/>
      <w:szCs w:val="20"/>
    </w:rPr>
  </w:style>
  <w:style w:type="paragraph" w:styleId="CommentSubject">
    <w:name w:val="annotation subject"/>
    <w:basedOn w:val="CommentText"/>
    <w:next w:val="CommentText"/>
    <w:link w:val="CommentSubjectChar"/>
    <w:uiPriority w:val="99"/>
    <w:semiHidden/>
    <w:unhideWhenUsed/>
    <w:rsid w:val="007211CA"/>
    <w:rPr>
      <w:b/>
      <w:bCs/>
    </w:rPr>
  </w:style>
  <w:style w:type="character" w:customStyle="1" w:styleId="CommentSubjectChar">
    <w:name w:val="Comment Subject Char"/>
    <w:basedOn w:val="CommentTextChar"/>
    <w:link w:val="CommentSubject"/>
    <w:uiPriority w:val="99"/>
    <w:semiHidden/>
    <w:rsid w:val="007211CA"/>
    <w:rPr>
      <w:b/>
      <w:bCs/>
      <w:sz w:val="20"/>
      <w:szCs w:val="20"/>
    </w:rPr>
  </w:style>
  <w:style w:type="paragraph" w:styleId="NormalWeb">
    <w:name w:val="Normal (Web)"/>
    <w:basedOn w:val="Normal"/>
    <w:uiPriority w:val="99"/>
    <w:unhideWhenUsed/>
    <w:rsid w:val="007679A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369604">
      <w:bodyDiv w:val="1"/>
      <w:marLeft w:val="0"/>
      <w:marRight w:val="0"/>
      <w:marTop w:val="0"/>
      <w:marBottom w:val="0"/>
      <w:divBdr>
        <w:top w:val="none" w:sz="0" w:space="0" w:color="auto"/>
        <w:left w:val="none" w:sz="0" w:space="0" w:color="auto"/>
        <w:bottom w:val="none" w:sz="0" w:space="0" w:color="auto"/>
        <w:right w:val="none" w:sz="0" w:space="0" w:color="auto"/>
      </w:divBdr>
      <w:divsChild>
        <w:div w:id="80760674">
          <w:marLeft w:val="360"/>
          <w:marRight w:val="0"/>
          <w:marTop w:val="200"/>
          <w:marBottom w:val="240"/>
          <w:divBdr>
            <w:top w:val="none" w:sz="0" w:space="0" w:color="auto"/>
            <w:left w:val="none" w:sz="0" w:space="0" w:color="auto"/>
            <w:bottom w:val="none" w:sz="0" w:space="0" w:color="auto"/>
            <w:right w:val="none" w:sz="0" w:space="0" w:color="auto"/>
          </w:divBdr>
        </w:div>
      </w:divsChild>
    </w:div>
    <w:div w:id="876894484">
      <w:bodyDiv w:val="1"/>
      <w:marLeft w:val="0"/>
      <w:marRight w:val="0"/>
      <w:marTop w:val="0"/>
      <w:marBottom w:val="0"/>
      <w:divBdr>
        <w:top w:val="none" w:sz="0" w:space="0" w:color="auto"/>
        <w:left w:val="none" w:sz="0" w:space="0" w:color="auto"/>
        <w:bottom w:val="none" w:sz="0" w:space="0" w:color="auto"/>
        <w:right w:val="none" w:sz="0" w:space="0" w:color="auto"/>
      </w:divBdr>
    </w:div>
    <w:div w:id="961153608">
      <w:bodyDiv w:val="1"/>
      <w:marLeft w:val="0"/>
      <w:marRight w:val="0"/>
      <w:marTop w:val="0"/>
      <w:marBottom w:val="0"/>
      <w:divBdr>
        <w:top w:val="none" w:sz="0" w:space="0" w:color="auto"/>
        <w:left w:val="none" w:sz="0" w:space="0" w:color="auto"/>
        <w:bottom w:val="none" w:sz="0" w:space="0" w:color="auto"/>
        <w:right w:val="none" w:sz="0" w:space="0" w:color="auto"/>
      </w:divBdr>
      <w:divsChild>
        <w:div w:id="1833568878">
          <w:marLeft w:val="360"/>
          <w:marRight w:val="0"/>
          <w:marTop w:val="200"/>
          <w:marBottom w:val="240"/>
          <w:divBdr>
            <w:top w:val="none" w:sz="0" w:space="0" w:color="auto"/>
            <w:left w:val="none" w:sz="0" w:space="0" w:color="auto"/>
            <w:bottom w:val="none" w:sz="0" w:space="0" w:color="auto"/>
            <w:right w:val="none" w:sz="0" w:space="0" w:color="auto"/>
          </w:divBdr>
        </w:div>
      </w:divsChild>
    </w:div>
    <w:div w:id="1401175198">
      <w:bodyDiv w:val="1"/>
      <w:marLeft w:val="0"/>
      <w:marRight w:val="0"/>
      <w:marTop w:val="0"/>
      <w:marBottom w:val="0"/>
      <w:divBdr>
        <w:top w:val="none" w:sz="0" w:space="0" w:color="auto"/>
        <w:left w:val="none" w:sz="0" w:space="0" w:color="auto"/>
        <w:bottom w:val="none" w:sz="0" w:space="0" w:color="auto"/>
        <w:right w:val="none" w:sz="0" w:space="0" w:color="auto"/>
      </w:divBdr>
      <w:divsChild>
        <w:div w:id="728264360">
          <w:marLeft w:val="360"/>
          <w:marRight w:val="0"/>
          <w:marTop w:val="200"/>
          <w:marBottom w:val="240"/>
          <w:divBdr>
            <w:top w:val="none" w:sz="0" w:space="0" w:color="auto"/>
            <w:left w:val="none" w:sz="0" w:space="0" w:color="auto"/>
            <w:bottom w:val="none" w:sz="0" w:space="0" w:color="auto"/>
            <w:right w:val="none" w:sz="0" w:space="0" w:color="auto"/>
          </w:divBdr>
        </w:div>
      </w:divsChild>
    </w:div>
    <w:div w:id="1539196609">
      <w:bodyDiv w:val="1"/>
      <w:marLeft w:val="0"/>
      <w:marRight w:val="0"/>
      <w:marTop w:val="0"/>
      <w:marBottom w:val="0"/>
      <w:divBdr>
        <w:top w:val="none" w:sz="0" w:space="0" w:color="auto"/>
        <w:left w:val="none" w:sz="0" w:space="0" w:color="auto"/>
        <w:bottom w:val="none" w:sz="0" w:space="0" w:color="auto"/>
        <w:right w:val="none" w:sz="0" w:space="0" w:color="auto"/>
      </w:divBdr>
      <w:divsChild>
        <w:div w:id="1985432480">
          <w:marLeft w:val="547"/>
          <w:marRight w:val="0"/>
          <w:marTop w:val="0"/>
          <w:marBottom w:val="0"/>
          <w:divBdr>
            <w:top w:val="none" w:sz="0" w:space="0" w:color="auto"/>
            <w:left w:val="none" w:sz="0" w:space="0" w:color="auto"/>
            <w:bottom w:val="none" w:sz="0" w:space="0" w:color="auto"/>
            <w:right w:val="none" w:sz="0" w:space="0" w:color="auto"/>
          </w:divBdr>
        </w:div>
      </w:divsChild>
    </w:div>
    <w:div w:id="1713536071">
      <w:bodyDiv w:val="1"/>
      <w:marLeft w:val="0"/>
      <w:marRight w:val="0"/>
      <w:marTop w:val="0"/>
      <w:marBottom w:val="0"/>
      <w:divBdr>
        <w:top w:val="none" w:sz="0" w:space="0" w:color="auto"/>
        <w:left w:val="none" w:sz="0" w:space="0" w:color="auto"/>
        <w:bottom w:val="none" w:sz="0" w:space="0" w:color="auto"/>
        <w:right w:val="none" w:sz="0" w:space="0" w:color="auto"/>
      </w:divBdr>
      <w:divsChild>
        <w:div w:id="85407559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crsorg.sharepoint.com/:b:/r/sites/ChangingtheWayWeCareTeam/Group%20Documents/Technical/Tipping%20point%20%26%20scale/Demonstration%20Rebuild%20Strategy.pdf?csf=1&amp;web=1&amp;e=BHnG2D" TargetMode="External"/><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mailto:bbradford@maestral.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sorg.sharepoint.com/:b:/r/sites/ChangingtheWayWeCareTeam/Group%20Documents/Technical/Tipping%20point%20%26%20scale/Scaling%20the%20Way%20We%20Care.pdf?csf=1&amp;web=1&amp;e=hYkOOf"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diagramData" Target="diagrams/data1.xml"/><Relationship Id="rId23" Type="http://schemas.openxmlformats.org/officeDocument/2006/relationships/fontTable" Target="fontTable.xml"/><Relationship Id="rId10" Type="http://schemas.openxmlformats.org/officeDocument/2006/relationships/hyperlink" Target="https://www.macfound.org/programs/100change/" TargetMode="External"/><Relationship Id="rId19" Type="http://schemas.microsoft.com/office/2007/relationships/diagramDrawing" Target="diagrams/drawing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rsorg.sharepoint.com/:w:/r/sites/ChangingtheWayWeCareTeam/Group%20Documents/Technical/Tipping%20point%20%26%20scale/country%20tipping%20point%20from%20FY21%20planning.docx?d=w87f08dc7a7b345fcacd4c45d6ed30fc4&amp;csf=1&amp;web=1&amp;e=tThE7l"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2FDEBE-E01E-4597-8319-0034F5BC9E77}" type="doc">
      <dgm:prSet loTypeId="urn:microsoft.com/office/officeart/2016/7/layout/VerticalDownArrowProcess" loCatId="process" qsTypeId="urn:microsoft.com/office/officeart/2005/8/quickstyle/simple1" qsCatId="simple" csTypeId="urn:microsoft.com/office/officeart/2005/8/colors/colorful5" csCatId="colorful" phldr="1"/>
      <dgm:spPr/>
      <dgm:t>
        <a:bodyPr/>
        <a:lstStyle/>
        <a:p>
          <a:endParaRPr lang="en-US"/>
        </a:p>
      </dgm:t>
    </dgm:pt>
    <dgm:pt modelId="{66DBFB5B-7B60-4F6F-BE74-D45A3C43423D}">
      <dgm:prSet custT="1"/>
      <dgm:spPr/>
      <dgm:t>
        <a:bodyPr/>
        <a:lstStyle/>
        <a:p>
          <a:r>
            <a:rPr lang="en-US" sz="800" dirty="0"/>
            <a:t>Reach consensus &amp; vision</a:t>
          </a:r>
        </a:p>
      </dgm:t>
    </dgm:pt>
    <dgm:pt modelId="{00B810BC-955E-4236-B38E-580D20739705}" type="parTrans" cxnId="{C3B2D4E6-7D48-4644-8C99-47CD2AC1215B}">
      <dgm:prSet/>
      <dgm:spPr/>
      <dgm:t>
        <a:bodyPr/>
        <a:lstStyle/>
        <a:p>
          <a:endParaRPr lang="en-US"/>
        </a:p>
      </dgm:t>
    </dgm:pt>
    <dgm:pt modelId="{66266326-E097-44DA-8FFA-6D3B5BCA0C9A}" type="sibTrans" cxnId="{C3B2D4E6-7D48-4644-8C99-47CD2AC1215B}">
      <dgm:prSet/>
      <dgm:spPr/>
      <dgm:t>
        <a:bodyPr/>
        <a:lstStyle/>
        <a:p>
          <a:endParaRPr lang="en-US"/>
        </a:p>
      </dgm:t>
    </dgm:pt>
    <dgm:pt modelId="{F2924902-B4D6-4C43-ADF0-763410350931}">
      <dgm:prSet custT="1"/>
      <dgm:spPr/>
      <dgm:t>
        <a:bodyPr/>
        <a:lstStyle/>
        <a:p>
          <a:r>
            <a:rPr lang="en-US" sz="800" dirty="0"/>
            <a:t>Review existing information (care system assessments, situational analyses, funding flows information, country care profiles, etc.) &amp; support government &amp; civil society actors to set future vision</a:t>
          </a:r>
        </a:p>
        <a:p>
          <a:r>
            <a:rPr lang="en-US" sz="800" dirty="0"/>
            <a:t>Define tipping point &amp; targets</a:t>
          </a:r>
        </a:p>
      </dgm:t>
    </dgm:pt>
    <dgm:pt modelId="{19ADD680-E397-45B6-B902-B4E26EEB97A7}" type="parTrans" cxnId="{045E1B58-66D1-4F35-B593-791CD7612F90}">
      <dgm:prSet/>
      <dgm:spPr/>
      <dgm:t>
        <a:bodyPr/>
        <a:lstStyle/>
        <a:p>
          <a:endParaRPr lang="en-US"/>
        </a:p>
      </dgm:t>
    </dgm:pt>
    <dgm:pt modelId="{ADF6E1EB-64A4-4D63-B009-416A1F9A211E}" type="sibTrans" cxnId="{045E1B58-66D1-4F35-B593-791CD7612F90}">
      <dgm:prSet/>
      <dgm:spPr/>
      <dgm:t>
        <a:bodyPr/>
        <a:lstStyle/>
        <a:p>
          <a:endParaRPr lang="en-US"/>
        </a:p>
      </dgm:t>
    </dgm:pt>
    <dgm:pt modelId="{279F446A-0C6E-448C-9996-6B85EDDB51DB}">
      <dgm:prSet custT="1"/>
      <dgm:spPr/>
      <dgm:t>
        <a:bodyPr/>
        <a:lstStyle/>
        <a:p>
          <a:r>
            <a:rPr lang="en-US" sz="800" dirty="0"/>
            <a:t>Set targets &amp; strategy</a:t>
          </a:r>
        </a:p>
      </dgm:t>
    </dgm:pt>
    <dgm:pt modelId="{B7B3B98E-3319-4805-9088-A5F11D26D34E}" type="parTrans" cxnId="{5997C542-16C3-4CFF-A948-6EE31E63E8E3}">
      <dgm:prSet/>
      <dgm:spPr/>
      <dgm:t>
        <a:bodyPr/>
        <a:lstStyle/>
        <a:p>
          <a:endParaRPr lang="en-US"/>
        </a:p>
      </dgm:t>
    </dgm:pt>
    <dgm:pt modelId="{AE60D352-5E06-43BF-BB09-BE043D8A6EF8}" type="sibTrans" cxnId="{5997C542-16C3-4CFF-A948-6EE31E63E8E3}">
      <dgm:prSet/>
      <dgm:spPr/>
      <dgm:t>
        <a:bodyPr/>
        <a:lstStyle/>
        <a:p>
          <a:endParaRPr lang="en-US"/>
        </a:p>
      </dgm:t>
    </dgm:pt>
    <dgm:pt modelId="{6664CEFA-20E0-445D-835E-554CFAD338E2}">
      <dgm:prSet custT="1"/>
      <dgm:spPr/>
      <dgm:t>
        <a:bodyPr/>
        <a:lstStyle/>
        <a:p>
          <a:r>
            <a:rPr lang="en-US" sz="800" dirty="0"/>
            <a:t>With key government and civil society actors, discuss current situation, assess the scalability of key priorities, set scaling targets, agree on key priorities to reach scale (3-5 years out)</a:t>
          </a:r>
        </a:p>
        <a:p>
          <a:r>
            <a:rPr lang="en-US" sz="800" dirty="0"/>
            <a:t>Support development of costed national and sub-national strategies, action plans &amp; M&amp;E frameworks</a:t>
          </a:r>
        </a:p>
      </dgm:t>
    </dgm:pt>
    <dgm:pt modelId="{E03E1AA6-8730-4BE7-A923-C2E4C154CFEC}" type="parTrans" cxnId="{88E28469-5B92-4423-89A3-0081B11B3511}">
      <dgm:prSet/>
      <dgm:spPr/>
      <dgm:t>
        <a:bodyPr/>
        <a:lstStyle/>
        <a:p>
          <a:endParaRPr lang="en-US"/>
        </a:p>
      </dgm:t>
    </dgm:pt>
    <dgm:pt modelId="{98C80907-5633-4431-B90A-FDE606360A4D}" type="sibTrans" cxnId="{88E28469-5B92-4423-89A3-0081B11B3511}">
      <dgm:prSet/>
      <dgm:spPr/>
      <dgm:t>
        <a:bodyPr/>
        <a:lstStyle/>
        <a:p>
          <a:endParaRPr lang="en-US"/>
        </a:p>
      </dgm:t>
    </dgm:pt>
    <dgm:pt modelId="{F14785F6-0AA0-42A4-AEE9-D58550AC3BF3}">
      <dgm:prSet custT="1"/>
      <dgm:spPr/>
      <dgm:t>
        <a:bodyPr/>
        <a:lstStyle/>
        <a:p>
          <a:endParaRPr lang="en-US" sz="800" dirty="0"/>
        </a:p>
        <a:p>
          <a:r>
            <a:rPr lang="en-US" sz="800" dirty="0"/>
            <a:t>Prioritize support </a:t>
          </a:r>
        </a:p>
        <a:p>
          <a:endParaRPr lang="en-US" sz="800" dirty="0"/>
        </a:p>
      </dgm:t>
    </dgm:pt>
    <dgm:pt modelId="{211368BB-1250-4AE9-A9E3-283AE02599E8}" type="parTrans" cxnId="{0FD492CD-A5D9-4A7E-B948-3E22DCE2BF7E}">
      <dgm:prSet/>
      <dgm:spPr/>
      <dgm:t>
        <a:bodyPr/>
        <a:lstStyle/>
        <a:p>
          <a:endParaRPr lang="en-US"/>
        </a:p>
      </dgm:t>
    </dgm:pt>
    <dgm:pt modelId="{6DAFD344-867D-4576-BA45-7AF615396B8A}" type="sibTrans" cxnId="{0FD492CD-A5D9-4A7E-B948-3E22DCE2BF7E}">
      <dgm:prSet/>
      <dgm:spPr/>
      <dgm:t>
        <a:bodyPr/>
        <a:lstStyle/>
        <a:p>
          <a:endParaRPr lang="en-US"/>
        </a:p>
      </dgm:t>
    </dgm:pt>
    <dgm:pt modelId="{BE27D10B-DC52-400E-9880-6419B4989ABE}">
      <dgm:prSet custT="1"/>
      <dgm:spPr/>
      <dgm:t>
        <a:bodyPr/>
        <a:lstStyle/>
        <a:p>
          <a:r>
            <a:rPr lang="en-US" sz="800" dirty="0"/>
            <a:t>Confirm with government activities CTWWC will support related to national scaling strategy and vision</a:t>
          </a:r>
        </a:p>
      </dgm:t>
    </dgm:pt>
    <dgm:pt modelId="{C993C50C-0CA5-49CC-8A11-BE55557F643D}" type="parTrans" cxnId="{FC10068C-FC00-467A-A80F-D0026B9D6B40}">
      <dgm:prSet/>
      <dgm:spPr/>
      <dgm:t>
        <a:bodyPr/>
        <a:lstStyle/>
        <a:p>
          <a:endParaRPr lang="en-US"/>
        </a:p>
      </dgm:t>
    </dgm:pt>
    <dgm:pt modelId="{3CA24C47-5A48-498F-AEC1-65B1331452F8}" type="sibTrans" cxnId="{FC10068C-FC00-467A-A80F-D0026B9D6B40}">
      <dgm:prSet/>
      <dgm:spPr/>
      <dgm:t>
        <a:bodyPr/>
        <a:lstStyle/>
        <a:p>
          <a:endParaRPr lang="en-US"/>
        </a:p>
      </dgm:t>
    </dgm:pt>
    <dgm:pt modelId="{95B47348-C69B-4AB6-9B9A-05E32BFC85C6}">
      <dgm:prSet custT="1"/>
      <dgm:spPr/>
      <dgm:t>
        <a:bodyPr/>
        <a:lstStyle/>
        <a:p>
          <a:r>
            <a:rPr lang="en-US" sz="800" dirty="0"/>
            <a:t>Advocate &amp; raise awareness</a:t>
          </a:r>
        </a:p>
      </dgm:t>
    </dgm:pt>
    <dgm:pt modelId="{441B25A0-28E1-477C-8BCD-3765B2896A28}" type="parTrans" cxnId="{FAF9CC86-17D4-41C0-A948-AAFC69339975}">
      <dgm:prSet/>
      <dgm:spPr/>
      <dgm:t>
        <a:bodyPr/>
        <a:lstStyle/>
        <a:p>
          <a:endParaRPr lang="en-US"/>
        </a:p>
      </dgm:t>
    </dgm:pt>
    <dgm:pt modelId="{BEC2669C-1CA7-49A7-88C8-9E3AA0058469}" type="sibTrans" cxnId="{FAF9CC86-17D4-41C0-A948-AAFC69339975}">
      <dgm:prSet/>
      <dgm:spPr/>
      <dgm:t>
        <a:bodyPr/>
        <a:lstStyle/>
        <a:p>
          <a:endParaRPr lang="en-US"/>
        </a:p>
      </dgm:t>
    </dgm:pt>
    <dgm:pt modelId="{465C3C14-2CA3-46D7-9890-17B503A6C992}">
      <dgm:prSet custT="1"/>
      <dgm:spPr/>
      <dgm:t>
        <a:bodyPr/>
        <a:lstStyle/>
        <a:p>
          <a:r>
            <a:rPr lang="en-US" sz="800" dirty="0"/>
            <a:t>Advocate / support government to advocate for public budget, influence for funding redirection, fundraise for priorities and support of scaling</a:t>
          </a:r>
        </a:p>
        <a:p>
          <a:r>
            <a:rPr lang="en-US" sz="800" dirty="0"/>
            <a:t>Build donor &amp; supporter awareness, engage private &amp; faith-based sector, build family &amp; community awareness/demand</a:t>
          </a:r>
        </a:p>
      </dgm:t>
    </dgm:pt>
    <dgm:pt modelId="{86A3EAA3-B8BA-41FB-94C3-AB6A044DD2E6}" type="parTrans" cxnId="{37F3EC37-108D-4735-B5F7-664239FBD88B}">
      <dgm:prSet/>
      <dgm:spPr/>
      <dgm:t>
        <a:bodyPr/>
        <a:lstStyle/>
        <a:p>
          <a:endParaRPr lang="en-US"/>
        </a:p>
      </dgm:t>
    </dgm:pt>
    <dgm:pt modelId="{26D5B82B-C13A-4B54-AC12-6F21CC959E53}" type="sibTrans" cxnId="{37F3EC37-108D-4735-B5F7-664239FBD88B}">
      <dgm:prSet/>
      <dgm:spPr/>
      <dgm:t>
        <a:bodyPr/>
        <a:lstStyle/>
        <a:p>
          <a:endParaRPr lang="en-US"/>
        </a:p>
      </dgm:t>
    </dgm:pt>
    <dgm:pt modelId="{2E20F1EF-2FF1-4E25-901B-25E0F406AB8E}">
      <dgm:prSet custT="1"/>
      <dgm:spPr/>
      <dgm:t>
        <a:bodyPr/>
        <a:lstStyle/>
        <a:p>
          <a:r>
            <a:rPr lang="en-US" sz="800"/>
            <a:t>Implement</a:t>
          </a:r>
        </a:p>
      </dgm:t>
    </dgm:pt>
    <dgm:pt modelId="{98A146D2-7BBF-442B-81AC-F27556CDBEC2}" type="parTrans" cxnId="{8B5EC187-B48D-474D-A435-740328D46E48}">
      <dgm:prSet/>
      <dgm:spPr/>
      <dgm:t>
        <a:bodyPr/>
        <a:lstStyle/>
        <a:p>
          <a:endParaRPr lang="en-US"/>
        </a:p>
      </dgm:t>
    </dgm:pt>
    <dgm:pt modelId="{69DE65A4-16C2-4D2F-B101-FABB6D27A039}" type="sibTrans" cxnId="{8B5EC187-B48D-474D-A435-740328D46E48}">
      <dgm:prSet/>
      <dgm:spPr/>
      <dgm:t>
        <a:bodyPr/>
        <a:lstStyle/>
        <a:p>
          <a:endParaRPr lang="en-US"/>
        </a:p>
      </dgm:t>
    </dgm:pt>
    <dgm:pt modelId="{6CFF30B6-C887-43A4-9ED6-B726C3D8CBBC}">
      <dgm:prSet custT="1"/>
      <dgm:spPr/>
      <dgm:t>
        <a:bodyPr/>
        <a:lstStyle/>
        <a:p>
          <a:r>
            <a:rPr lang="en-US" sz="800" dirty="0"/>
            <a:t>Implement and monitor progress towards tipping point &amp; national scale</a:t>
          </a:r>
        </a:p>
        <a:p>
          <a:r>
            <a:rPr lang="en-US" sz="800" dirty="0"/>
            <a:t>Continue to demonstration county level implementation &amp; support cross-county learning</a:t>
          </a:r>
        </a:p>
      </dgm:t>
    </dgm:pt>
    <dgm:pt modelId="{DE089FD5-509D-47D4-929B-917B81321950}" type="parTrans" cxnId="{5926CA5C-17F8-431F-A42D-6AAFE39DE9D6}">
      <dgm:prSet/>
      <dgm:spPr/>
      <dgm:t>
        <a:bodyPr/>
        <a:lstStyle/>
        <a:p>
          <a:endParaRPr lang="en-US"/>
        </a:p>
      </dgm:t>
    </dgm:pt>
    <dgm:pt modelId="{5C9467CF-BD0B-4D65-9C6A-83B4994DB0CD}" type="sibTrans" cxnId="{5926CA5C-17F8-431F-A42D-6AAFE39DE9D6}">
      <dgm:prSet/>
      <dgm:spPr/>
      <dgm:t>
        <a:bodyPr/>
        <a:lstStyle/>
        <a:p>
          <a:endParaRPr lang="en-US"/>
        </a:p>
      </dgm:t>
    </dgm:pt>
    <dgm:pt modelId="{381662EA-F444-7548-B23F-BA67E41E36DD}">
      <dgm:prSet custT="1"/>
      <dgm:spPr/>
      <dgm:t>
        <a:bodyPr/>
        <a:lstStyle/>
        <a:p>
          <a:r>
            <a:rPr lang="en-US" sz="800" dirty="0"/>
            <a:t>Learn, document </a:t>
          </a:r>
          <a:r>
            <a:rPr lang="en-US" sz="800"/>
            <a:t>&amp; share</a:t>
          </a:r>
          <a:endParaRPr lang="en-US" sz="800" dirty="0"/>
        </a:p>
      </dgm:t>
    </dgm:pt>
    <dgm:pt modelId="{B0691075-A4EF-1C43-8CEB-CA550CF88A50}" type="parTrans" cxnId="{EC5C217B-A8AD-7141-B454-F694F9197E1B}">
      <dgm:prSet/>
      <dgm:spPr/>
      <dgm:t>
        <a:bodyPr/>
        <a:lstStyle/>
        <a:p>
          <a:endParaRPr lang="en-US"/>
        </a:p>
      </dgm:t>
    </dgm:pt>
    <dgm:pt modelId="{6B557A3E-9ABF-024D-8D17-02F8F05D976F}" type="sibTrans" cxnId="{EC5C217B-A8AD-7141-B454-F694F9197E1B}">
      <dgm:prSet/>
      <dgm:spPr/>
      <dgm:t>
        <a:bodyPr/>
        <a:lstStyle/>
        <a:p>
          <a:endParaRPr lang="en-US"/>
        </a:p>
      </dgm:t>
    </dgm:pt>
    <dgm:pt modelId="{A22AB04B-E471-EB49-AF73-AFCBBCAD6E02}">
      <dgm:prSet custT="1"/>
      <dgm:spPr/>
      <dgm:t>
        <a:bodyPr/>
        <a:lstStyle/>
        <a:p>
          <a:r>
            <a:rPr lang="en-US" sz="800" dirty="0"/>
            <a:t>Seek to understand, document and disseminate lessons learned (including challenges and failures) and to different audiences</a:t>
          </a:r>
        </a:p>
      </dgm:t>
    </dgm:pt>
    <dgm:pt modelId="{8AE67D17-7C9D-4B48-9DE2-724FDFCA5664}" type="parTrans" cxnId="{E9E2AD5C-5173-1346-A8E5-C818F84604F3}">
      <dgm:prSet/>
      <dgm:spPr/>
      <dgm:t>
        <a:bodyPr/>
        <a:lstStyle/>
        <a:p>
          <a:endParaRPr lang="en-US"/>
        </a:p>
      </dgm:t>
    </dgm:pt>
    <dgm:pt modelId="{17E38841-8BD6-A64E-A060-5F3609F82D89}" type="sibTrans" cxnId="{E9E2AD5C-5173-1346-A8E5-C818F84604F3}">
      <dgm:prSet/>
      <dgm:spPr/>
      <dgm:t>
        <a:bodyPr/>
        <a:lstStyle/>
        <a:p>
          <a:endParaRPr lang="en-US"/>
        </a:p>
      </dgm:t>
    </dgm:pt>
    <dgm:pt modelId="{8E6AC757-91BD-7645-8BBD-CB7119B55216}" type="pres">
      <dgm:prSet presAssocID="{6C2FDEBE-E01E-4597-8319-0034F5BC9E77}" presName="Name0" presStyleCnt="0">
        <dgm:presLayoutVars>
          <dgm:dir/>
          <dgm:animLvl val="lvl"/>
          <dgm:resizeHandles val="exact"/>
        </dgm:presLayoutVars>
      </dgm:prSet>
      <dgm:spPr/>
    </dgm:pt>
    <dgm:pt modelId="{046A891D-870E-074F-BB97-FE1C0E1E1C24}" type="pres">
      <dgm:prSet presAssocID="{381662EA-F444-7548-B23F-BA67E41E36DD}" presName="boxAndChildren" presStyleCnt="0"/>
      <dgm:spPr/>
    </dgm:pt>
    <dgm:pt modelId="{ADC70F67-D72C-6140-B8BC-20AE16967875}" type="pres">
      <dgm:prSet presAssocID="{381662EA-F444-7548-B23F-BA67E41E36DD}" presName="parentTextBox" presStyleLbl="alignNode1" presStyleIdx="0" presStyleCnt="6" custScaleY="233646" custLinFactNeighborX="-5" custLinFactNeighborY="-65671"/>
      <dgm:spPr/>
    </dgm:pt>
    <dgm:pt modelId="{AB172487-0441-4640-9798-C393ECB0560E}" type="pres">
      <dgm:prSet presAssocID="{381662EA-F444-7548-B23F-BA67E41E36DD}" presName="descendantBox" presStyleLbl="bgAccFollowNode1" presStyleIdx="0" presStyleCnt="6" custScaleY="174111" custLinFactNeighborX="-2" custLinFactNeighborY="-65671"/>
      <dgm:spPr/>
    </dgm:pt>
    <dgm:pt modelId="{ACA225DC-5DFB-AA49-9E33-AAF0D84B3962}" type="pres">
      <dgm:prSet presAssocID="{69DE65A4-16C2-4D2F-B101-FABB6D27A039}" presName="sp" presStyleCnt="0"/>
      <dgm:spPr/>
    </dgm:pt>
    <dgm:pt modelId="{D5859156-7569-4540-81A2-1F29DE0733E8}" type="pres">
      <dgm:prSet presAssocID="{2E20F1EF-2FF1-4E25-901B-25E0F406AB8E}" presName="arrowAndChildren" presStyleCnt="0"/>
      <dgm:spPr/>
    </dgm:pt>
    <dgm:pt modelId="{32C63DB3-1745-FD4A-9CAC-5D42B640DA93}" type="pres">
      <dgm:prSet presAssocID="{2E20F1EF-2FF1-4E25-901B-25E0F406AB8E}" presName="parentTextArrow" presStyleLbl="node1" presStyleIdx="0" presStyleCnt="0"/>
      <dgm:spPr/>
    </dgm:pt>
    <dgm:pt modelId="{2B7F2E7B-C259-1240-AD70-5154D997AB67}" type="pres">
      <dgm:prSet presAssocID="{2E20F1EF-2FF1-4E25-901B-25E0F406AB8E}" presName="arrow" presStyleLbl="alignNode1" presStyleIdx="1" presStyleCnt="6" custScaleY="218554" custLinFactNeighborX="-5" custLinFactNeighborY="-50502"/>
      <dgm:spPr/>
    </dgm:pt>
    <dgm:pt modelId="{F3ADBD93-9900-474F-A340-A7FCC6345A24}" type="pres">
      <dgm:prSet presAssocID="{2E20F1EF-2FF1-4E25-901B-25E0F406AB8E}" presName="descendantArrow" presStyleLbl="bgAccFollowNode1" presStyleIdx="1" presStyleCnt="6" custScaleY="317407" custLinFactNeighborX="-2" custLinFactNeighborY="-56040"/>
      <dgm:spPr/>
    </dgm:pt>
    <dgm:pt modelId="{40EAD23F-B350-C449-B05C-9AB88C1548E2}" type="pres">
      <dgm:prSet presAssocID="{BEC2669C-1CA7-49A7-88C8-9E3AA0058469}" presName="sp" presStyleCnt="0"/>
      <dgm:spPr/>
    </dgm:pt>
    <dgm:pt modelId="{171B9AA0-C17A-474F-B551-6F9B273C3F81}" type="pres">
      <dgm:prSet presAssocID="{95B47348-C69B-4AB6-9B9A-05E32BFC85C6}" presName="arrowAndChildren" presStyleCnt="0"/>
      <dgm:spPr/>
    </dgm:pt>
    <dgm:pt modelId="{BC8526DB-81E0-454B-A613-A9069516B4BF}" type="pres">
      <dgm:prSet presAssocID="{95B47348-C69B-4AB6-9B9A-05E32BFC85C6}" presName="parentTextArrow" presStyleLbl="node1" presStyleIdx="0" presStyleCnt="0"/>
      <dgm:spPr/>
    </dgm:pt>
    <dgm:pt modelId="{3379B11D-DD46-FB49-A2AE-F1394E2E9AF9}" type="pres">
      <dgm:prSet presAssocID="{95B47348-C69B-4AB6-9B9A-05E32BFC85C6}" presName="arrow" presStyleLbl="alignNode1" presStyleIdx="2" presStyleCnt="6" custScaleY="225565" custLinFactNeighborX="-5" custLinFactNeighborY="-40278"/>
      <dgm:spPr/>
    </dgm:pt>
    <dgm:pt modelId="{322AFFAB-F8CC-2E40-A9F1-852A29AFF629}" type="pres">
      <dgm:prSet presAssocID="{95B47348-C69B-4AB6-9B9A-05E32BFC85C6}" presName="descendantArrow" presStyleLbl="bgAccFollowNode1" presStyleIdx="2" presStyleCnt="6" custScaleY="354389" custLinFactNeighborX="-2" custLinFactNeighborY="-86152"/>
      <dgm:spPr/>
    </dgm:pt>
    <dgm:pt modelId="{0CFFCDC9-C33B-5D41-90BD-9041C4D7A153}" type="pres">
      <dgm:prSet presAssocID="{6DAFD344-867D-4576-BA45-7AF615396B8A}" presName="sp" presStyleCnt="0"/>
      <dgm:spPr/>
    </dgm:pt>
    <dgm:pt modelId="{5E890FD4-2ECB-EF4B-B3BA-47AE0224FAEC}" type="pres">
      <dgm:prSet presAssocID="{F14785F6-0AA0-42A4-AEE9-D58550AC3BF3}" presName="arrowAndChildren" presStyleCnt="0"/>
      <dgm:spPr/>
    </dgm:pt>
    <dgm:pt modelId="{5B5E873F-62D5-6C46-A4C9-92631FEBB4FF}" type="pres">
      <dgm:prSet presAssocID="{F14785F6-0AA0-42A4-AEE9-D58550AC3BF3}" presName="parentTextArrow" presStyleLbl="node1" presStyleIdx="0" presStyleCnt="0"/>
      <dgm:spPr/>
    </dgm:pt>
    <dgm:pt modelId="{083453EC-BDA0-1347-8CCB-D3B8656CB678}" type="pres">
      <dgm:prSet presAssocID="{F14785F6-0AA0-42A4-AEE9-D58550AC3BF3}" presName="arrow" presStyleLbl="alignNode1" presStyleIdx="3" presStyleCnt="6" custScaleY="249730" custLinFactNeighborX="-5" custLinFactNeighborY="-16147"/>
      <dgm:spPr/>
    </dgm:pt>
    <dgm:pt modelId="{9F83A029-5C1D-6648-BC28-9ADCDE317470}" type="pres">
      <dgm:prSet presAssocID="{F14785F6-0AA0-42A4-AEE9-D58550AC3BF3}" presName="descendantArrow" presStyleLbl="bgAccFollowNode1" presStyleIdx="3" presStyleCnt="6" custScaleY="201435" custLinFactNeighborX="-2" custLinFactNeighborY="-31116"/>
      <dgm:spPr/>
    </dgm:pt>
    <dgm:pt modelId="{1D81E91D-053D-3A44-94DA-13929995FB68}" type="pres">
      <dgm:prSet presAssocID="{AE60D352-5E06-43BF-BB09-BE043D8A6EF8}" presName="sp" presStyleCnt="0"/>
      <dgm:spPr/>
    </dgm:pt>
    <dgm:pt modelId="{8429368E-3C27-334B-8F2B-2DDC96E4ADBA}" type="pres">
      <dgm:prSet presAssocID="{279F446A-0C6E-448C-9996-6B85EDDB51DB}" presName="arrowAndChildren" presStyleCnt="0"/>
      <dgm:spPr/>
    </dgm:pt>
    <dgm:pt modelId="{C73D48B3-C052-054D-8C69-DABE552ED395}" type="pres">
      <dgm:prSet presAssocID="{279F446A-0C6E-448C-9996-6B85EDDB51DB}" presName="parentTextArrow" presStyleLbl="node1" presStyleIdx="0" presStyleCnt="0"/>
      <dgm:spPr/>
    </dgm:pt>
    <dgm:pt modelId="{1C9CC5DA-0F30-B840-AF96-810119F29B59}" type="pres">
      <dgm:prSet presAssocID="{279F446A-0C6E-448C-9996-6B85EDDB51DB}" presName="arrow" presStyleLbl="alignNode1" presStyleIdx="4" presStyleCnt="6" custScaleY="223888" custLinFactNeighborX="-5" custLinFactNeighborY="-16782"/>
      <dgm:spPr/>
    </dgm:pt>
    <dgm:pt modelId="{A1173B9B-571B-A748-8831-752412AA0644}" type="pres">
      <dgm:prSet presAssocID="{279F446A-0C6E-448C-9996-6B85EDDB51DB}" presName="descendantArrow" presStyleLbl="bgAccFollowNode1" presStyleIdx="4" presStyleCnt="6" custScaleY="448621" custLinFactNeighborX="-2" custLinFactNeighborY="-25486"/>
      <dgm:spPr/>
    </dgm:pt>
    <dgm:pt modelId="{2E220DF0-1FB4-7B42-BD8F-7B28C88AB410}" type="pres">
      <dgm:prSet presAssocID="{66266326-E097-44DA-8FFA-6D3B5BCA0C9A}" presName="sp" presStyleCnt="0"/>
      <dgm:spPr/>
    </dgm:pt>
    <dgm:pt modelId="{9A2B7518-B263-224C-9312-F47471F0DE01}" type="pres">
      <dgm:prSet presAssocID="{66DBFB5B-7B60-4F6F-BE74-D45A3C43423D}" presName="arrowAndChildren" presStyleCnt="0"/>
      <dgm:spPr/>
    </dgm:pt>
    <dgm:pt modelId="{97C37550-5EDC-FA43-AA58-07EB04B07C86}" type="pres">
      <dgm:prSet presAssocID="{66DBFB5B-7B60-4F6F-BE74-D45A3C43423D}" presName="parentTextArrow" presStyleLbl="node1" presStyleIdx="0" presStyleCnt="0"/>
      <dgm:spPr/>
    </dgm:pt>
    <dgm:pt modelId="{8E33969F-32E4-4145-B166-6368EE52DCD5}" type="pres">
      <dgm:prSet presAssocID="{66DBFB5B-7B60-4F6F-BE74-D45A3C43423D}" presName="arrow" presStyleLbl="alignNode1" presStyleIdx="5" presStyleCnt="6" custScaleY="274179" custLinFactNeighborX="-5" custLinFactNeighborY="33053"/>
      <dgm:spPr/>
    </dgm:pt>
    <dgm:pt modelId="{4AFA2081-9308-FA4A-9016-09A7F46C343F}" type="pres">
      <dgm:prSet presAssocID="{66DBFB5B-7B60-4F6F-BE74-D45A3C43423D}" presName="descendantArrow" presStyleLbl="bgAccFollowNode1" presStyleIdx="5" presStyleCnt="6" custScaleY="368662" custLinFactNeighborX="928" custLinFactNeighborY="-64439"/>
      <dgm:spPr/>
    </dgm:pt>
  </dgm:ptLst>
  <dgm:cxnLst>
    <dgm:cxn modelId="{A6BB7402-F2BF-AD4D-8A79-7A97AFE1F543}" type="presOf" srcId="{95B47348-C69B-4AB6-9B9A-05E32BFC85C6}" destId="{BC8526DB-81E0-454B-A613-A9069516B4BF}" srcOrd="0" destOrd="0" presId="urn:microsoft.com/office/officeart/2016/7/layout/VerticalDownArrowProcess"/>
    <dgm:cxn modelId="{65739F15-EC55-B14C-A1C4-FDF6D10F88EA}" type="presOf" srcId="{95B47348-C69B-4AB6-9B9A-05E32BFC85C6}" destId="{3379B11D-DD46-FB49-A2AE-F1394E2E9AF9}" srcOrd="1" destOrd="0" presId="urn:microsoft.com/office/officeart/2016/7/layout/VerticalDownArrowProcess"/>
    <dgm:cxn modelId="{90C8711D-BBFD-0A4A-A4AD-4665D05635CB}" type="presOf" srcId="{A22AB04B-E471-EB49-AF73-AFCBBCAD6E02}" destId="{AB172487-0441-4640-9798-C393ECB0560E}" srcOrd="0" destOrd="0" presId="urn:microsoft.com/office/officeart/2016/7/layout/VerticalDownArrowProcess"/>
    <dgm:cxn modelId="{6F6DBB2B-65BD-F04C-928F-04DAEB906D16}" type="presOf" srcId="{6664CEFA-20E0-445D-835E-554CFAD338E2}" destId="{A1173B9B-571B-A748-8831-752412AA0644}" srcOrd="0" destOrd="0" presId="urn:microsoft.com/office/officeart/2016/7/layout/VerticalDownArrowProcess"/>
    <dgm:cxn modelId="{37F3EC37-108D-4735-B5F7-664239FBD88B}" srcId="{95B47348-C69B-4AB6-9B9A-05E32BFC85C6}" destId="{465C3C14-2CA3-46D7-9890-17B503A6C992}" srcOrd="0" destOrd="0" parTransId="{86A3EAA3-B8BA-41FB-94C3-AB6A044DD2E6}" sibTransId="{26D5B82B-C13A-4B54-AC12-6F21CC959E53}"/>
    <dgm:cxn modelId="{6F8CB041-7A77-B74F-AB83-E8ECDC40EAE4}" type="presOf" srcId="{381662EA-F444-7548-B23F-BA67E41E36DD}" destId="{ADC70F67-D72C-6140-B8BC-20AE16967875}" srcOrd="0" destOrd="0" presId="urn:microsoft.com/office/officeart/2016/7/layout/VerticalDownArrowProcess"/>
    <dgm:cxn modelId="{5997C542-16C3-4CFF-A948-6EE31E63E8E3}" srcId="{6C2FDEBE-E01E-4597-8319-0034F5BC9E77}" destId="{279F446A-0C6E-448C-9996-6B85EDDB51DB}" srcOrd="1" destOrd="0" parTransId="{B7B3B98E-3319-4805-9088-A5F11D26D34E}" sibTransId="{AE60D352-5E06-43BF-BB09-BE043D8A6EF8}"/>
    <dgm:cxn modelId="{0D78FD56-078C-A44F-89AC-04B0C0C285F9}" type="presOf" srcId="{6C2FDEBE-E01E-4597-8319-0034F5BC9E77}" destId="{8E6AC757-91BD-7645-8BBD-CB7119B55216}" srcOrd="0" destOrd="0" presId="urn:microsoft.com/office/officeart/2016/7/layout/VerticalDownArrowProcess"/>
    <dgm:cxn modelId="{045E1B58-66D1-4F35-B593-791CD7612F90}" srcId="{66DBFB5B-7B60-4F6F-BE74-D45A3C43423D}" destId="{F2924902-B4D6-4C43-ADF0-763410350931}" srcOrd="0" destOrd="0" parTransId="{19ADD680-E397-45B6-B902-B4E26EEB97A7}" sibTransId="{ADF6E1EB-64A4-4D63-B009-416A1F9A211E}"/>
    <dgm:cxn modelId="{E9E2AD5C-5173-1346-A8E5-C818F84604F3}" srcId="{381662EA-F444-7548-B23F-BA67E41E36DD}" destId="{A22AB04B-E471-EB49-AF73-AFCBBCAD6E02}" srcOrd="0" destOrd="0" parTransId="{8AE67D17-7C9D-4B48-9DE2-724FDFCA5664}" sibTransId="{17E38841-8BD6-A64E-A060-5F3609F82D89}"/>
    <dgm:cxn modelId="{5926CA5C-17F8-431F-A42D-6AAFE39DE9D6}" srcId="{2E20F1EF-2FF1-4E25-901B-25E0F406AB8E}" destId="{6CFF30B6-C887-43A4-9ED6-B726C3D8CBBC}" srcOrd="0" destOrd="0" parTransId="{DE089FD5-509D-47D4-929B-917B81321950}" sibTransId="{5C9467CF-BD0B-4D65-9C6A-83B4994DB0CD}"/>
    <dgm:cxn modelId="{47C97C60-437C-174F-970F-273982552A8B}" type="presOf" srcId="{F14785F6-0AA0-42A4-AEE9-D58550AC3BF3}" destId="{5B5E873F-62D5-6C46-A4C9-92631FEBB4FF}" srcOrd="0" destOrd="0" presId="urn:microsoft.com/office/officeart/2016/7/layout/VerticalDownArrowProcess"/>
    <dgm:cxn modelId="{88E28469-5B92-4423-89A3-0081B11B3511}" srcId="{279F446A-0C6E-448C-9996-6B85EDDB51DB}" destId="{6664CEFA-20E0-445D-835E-554CFAD338E2}" srcOrd="0" destOrd="0" parTransId="{E03E1AA6-8730-4BE7-A923-C2E4C154CFEC}" sibTransId="{98C80907-5633-4431-B90A-FDE606360A4D}"/>
    <dgm:cxn modelId="{53F08E71-0BC2-F240-A3B9-435A05A8017A}" type="presOf" srcId="{279F446A-0C6E-448C-9996-6B85EDDB51DB}" destId="{1C9CC5DA-0F30-B840-AF96-810119F29B59}" srcOrd="1" destOrd="0" presId="urn:microsoft.com/office/officeart/2016/7/layout/VerticalDownArrowProcess"/>
    <dgm:cxn modelId="{EC5C217B-A8AD-7141-B454-F694F9197E1B}" srcId="{6C2FDEBE-E01E-4597-8319-0034F5BC9E77}" destId="{381662EA-F444-7548-B23F-BA67E41E36DD}" srcOrd="5" destOrd="0" parTransId="{B0691075-A4EF-1C43-8CEB-CA550CF88A50}" sibTransId="{6B557A3E-9ABF-024D-8D17-02F8F05D976F}"/>
    <dgm:cxn modelId="{A4EF547C-584F-B040-83FA-07B98DCE1924}" type="presOf" srcId="{2E20F1EF-2FF1-4E25-901B-25E0F406AB8E}" destId="{32C63DB3-1745-FD4A-9CAC-5D42B640DA93}" srcOrd="0" destOrd="0" presId="urn:microsoft.com/office/officeart/2016/7/layout/VerticalDownArrowProcess"/>
    <dgm:cxn modelId="{FAF9CC86-17D4-41C0-A948-AAFC69339975}" srcId="{6C2FDEBE-E01E-4597-8319-0034F5BC9E77}" destId="{95B47348-C69B-4AB6-9B9A-05E32BFC85C6}" srcOrd="3" destOrd="0" parTransId="{441B25A0-28E1-477C-8BCD-3765B2896A28}" sibTransId="{BEC2669C-1CA7-49A7-88C8-9E3AA0058469}"/>
    <dgm:cxn modelId="{8B5EC187-B48D-474D-A435-740328D46E48}" srcId="{6C2FDEBE-E01E-4597-8319-0034F5BC9E77}" destId="{2E20F1EF-2FF1-4E25-901B-25E0F406AB8E}" srcOrd="4" destOrd="0" parTransId="{98A146D2-7BBF-442B-81AC-F27556CDBEC2}" sibTransId="{69DE65A4-16C2-4D2F-B101-FABB6D27A039}"/>
    <dgm:cxn modelId="{060CD387-A0C7-274E-B8FF-7ED947DE52AB}" type="presOf" srcId="{279F446A-0C6E-448C-9996-6B85EDDB51DB}" destId="{C73D48B3-C052-054D-8C69-DABE552ED395}" srcOrd="0" destOrd="0" presId="urn:microsoft.com/office/officeart/2016/7/layout/VerticalDownArrowProcess"/>
    <dgm:cxn modelId="{FC10068C-FC00-467A-A80F-D0026B9D6B40}" srcId="{F14785F6-0AA0-42A4-AEE9-D58550AC3BF3}" destId="{BE27D10B-DC52-400E-9880-6419B4989ABE}" srcOrd="0" destOrd="0" parTransId="{C993C50C-0CA5-49CC-8A11-BE55557F643D}" sibTransId="{3CA24C47-5A48-498F-AEC1-65B1331452F8}"/>
    <dgm:cxn modelId="{2540A097-F475-4E4B-B10E-C20496EA9056}" type="presOf" srcId="{2E20F1EF-2FF1-4E25-901B-25E0F406AB8E}" destId="{2B7F2E7B-C259-1240-AD70-5154D997AB67}" srcOrd="1" destOrd="0" presId="urn:microsoft.com/office/officeart/2016/7/layout/VerticalDownArrowProcess"/>
    <dgm:cxn modelId="{5740A0A8-9588-1D4B-AB7F-4B5FDE772643}" type="presOf" srcId="{66DBFB5B-7B60-4F6F-BE74-D45A3C43423D}" destId="{8E33969F-32E4-4145-B166-6368EE52DCD5}" srcOrd="1" destOrd="0" presId="urn:microsoft.com/office/officeart/2016/7/layout/VerticalDownArrowProcess"/>
    <dgm:cxn modelId="{6F7621B4-C746-F243-A964-6D3135E46357}" type="presOf" srcId="{F14785F6-0AA0-42A4-AEE9-D58550AC3BF3}" destId="{083453EC-BDA0-1347-8CCB-D3B8656CB678}" srcOrd="1" destOrd="0" presId="urn:microsoft.com/office/officeart/2016/7/layout/VerticalDownArrowProcess"/>
    <dgm:cxn modelId="{710229C3-E848-1A48-A1D3-F9A334348960}" type="presOf" srcId="{BE27D10B-DC52-400E-9880-6419B4989ABE}" destId="{9F83A029-5C1D-6648-BC28-9ADCDE317470}" srcOrd="0" destOrd="0" presId="urn:microsoft.com/office/officeart/2016/7/layout/VerticalDownArrowProcess"/>
    <dgm:cxn modelId="{F02252CA-18C9-DD48-9744-1D1E00F640E6}" type="presOf" srcId="{F2924902-B4D6-4C43-ADF0-763410350931}" destId="{4AFA2081-9308-FA4A-9016-09A7F46C343F}" srcOrd="0" destOrd="0" presId="urn:microsoft.com/office/officeart/2016/7/layout/VerticalDownArrowProcess"/>
    <dgm:cxn modelId="{0FD492CD-A5D9-4A7E-B948-3E22DCE2BF7E}" srcId="{6C2FDEBE-E01E-4597-8319-0034F5BC9E77}" destId="{F14785F6-0AA0-42A4-AEE9-D58550AC3BF3}" srcOrd="2" destOrd="0" parTransId="{211368BB-1250-4AE9-A9E3-283AE02599E8}" sibTransId="{6DAFD344-867D-4576-BA45-7AF615396B8A}"/>
    <dgm:cxn modelId="{47DB4BD4-FDFE-A64A-8109-BCA02523BD3E}" type="presOf" srcId="{465C3C14-2CA3-46D7-9890-17B503A6C992}" destId="{322AFFAB-F8CC-2E40-A9F1-852A29AFF629}" srcOrd="0" destOrd="0" presId="urn:microsoft.com/office/officeart/2016/7/layout/VerticalDownArrowProcess"/>
    <dgm:cxn modelId="{C3B2D4E6-7D48-4644-8C99-47CD2AC1215B}" srcId="{6C2FDEBE-E01E-4597-8319-0034F5BC9E77}" destId="{66DBFB5B-7B60-4F6F-BE74-D45A3C43423D}" srcOrd="0" destOrd="0" parTransId="{00B810BC-955E-4236-B38E-580D20739705}" sibTransId="{66266326-E097-44DA-8FFA-6D3B5BCA0C9A}"/>
    <dgm:cxn modelId="{C27281F4-D014-A04D-94EE-0993206B31B4}" type="presOf" srcId="{66DBFB5B-7B60-4F6F-BE74-D45A3C43423D}" destId="{97C37550-5EDC-FA43-AA58-07EB04B07C86}" srcOrd="0" destOrd="0" presId="urn:microsoft.com/office/officeart/2016/7/layout/VerticalDownArrowProcess"/>
    <dgm:cxn modelId="{F3023CFC-611B-104B-8EB7-09D1B22C98E2}" type="presOf" srcId="{6CFF30B6-C887-43A4-9ED6-B726C3D8CBBC}" destId="{F3ADBD93-9900-474F-A340-A7FCC6345A24}" srcOrd="0" destOrd="0" presId="urn:microsoft.com/office/officeart/2016/7/layout/VerticalDownArrowProcess"/>
    <dgm:cxn modelId="{CCE546F8-44DA-5C47-9AC5-120DFDAA0697}" type="presParOf" srcId="{8E6AC757-91BD-7645-8BBD-CB7119B55216}" destId="{046A891D-870E-074F-BB97-FE1C0E1E1C24}" srcOrd="0" destOrd="0" presId="urn:microsoft.com/office/officeart/2016/7/layout/VerticalDownArrowProcess"/>
    <dgm:cxn modelId="{90927A6F-5898-3447-94C5-4D2269EE19CA}" type="presParOf" srcId="{046A891D-870E-074F-BB97-FE1C0E1E1C24}" destId="{ADC70F67-D72C-6140-B8BC-20AE16967875}" srcOrd="0" destOrd="0" presId="urn:microsoft.com/office/officeart/2016/7/layout/VerticalDownArrowProcess"/>
    <dgm:cxn modelId="{C0EAAD23-6D94-8744-ADCE-48947ADB1DC6}" type="presParOf" srcId="{046A891D-870E-074F-BB97-FE1C0E1E1C24}" destId="{AB172487-0441-4640-9798-C393ECB0560E}" srcOrd="1" destOrd="0" presId="urn:microsoft.com/office/officeart/2016/7/layout/VerticalDownArrowProcess"/>
    <dgm:cxn modelId="{357F3EBB-3EDB-AE46-BF4E-5CBB9AA13A8D}" type="presParOf" srcId="{8E6AC757-91BD-7645-8BBD-CB7119B55216}" destId="{ACA225DC-5DFB-AA49-9E33-AAF0D84B3962}" srcOrd="1" destOrd="0" presId="urn:microsoft.com/office/officeart/2016/7/layout/VerticalDownArrowProcess"/>
    <dgm:cxn modelId="{88A33C6E-EBB7-2645-8B13-F9E0D17BCC43}" type="presParOf" srcId="{8E6AC757-91BD-7645-8BBD-CB7119B55216}" destId="{D5859156-7569-4540-81A2-1F29DE0733E8}" srcOrd="2" destOrd="0" presId="urn:microsoft.com/office/officeart/2016/7/layout/VerticalDownArrowProcess"/>
    <dgm:cxn modelId="{162F969F-F694-8F4A-A366-0A3E7FF299F5}" type="presParOf" srcId="{D5859156-7569-4540-81A2-1F29DE0733E8}" destId="{32C63DB3-1745-FD4A-9CAC-5D42B640DA93}" srcOrd="0" destOrd="0" presId="urn:microsoft.com/office/officeart/2016/7/layout/VerticalDownArrowProcess"/>
    <dgm:cxn modelId="{5DCA6DA2-F4AC-F840-A1BC-10A1E022E6D4}" type="presParOf" srcId="{D5859156-7569-4540-81A2-1F29DE0733E8}" destId="{2B7F2E7B-C259-1240-AD70-5154D997AB67}" srcOrd="1" destOrd="0" presId="urn:microsoft.com/office/officeart/2016/7/layout/VerticalDownArrowProcess"/>
    <dgm:cxn modelId="{B1B2DB63-BF54-8840-B618-D0A7B801AAA4}" type="presParOf" srcId="{D5859156-7569-4540-81A2-1F29DE0733E8}" destId="{F3ADBD93-9900-474F-A340-A7FCC6345A24}" srcOrd="2" destOrd="0" presId="urn:microsoft.com/office/officeart/2016/7/layout/VerticalDownArrowProcess"/>
    <dgm:cxn modelId="{7260B206-C08E-3747-80A5-1F80C9B3F4E4}" type="presParOf" srcId="{8E6AC757-91BD-7645-8BBD-CB7119B55216}" destId="{40EAD23F-B350-C449-B05C-9AB88C1548E2}" srcOrd="3" destOrd="0" presId="urn:microsoft.com/office/officeart/2016/7/layout/VerticalDownArrowProcess"/>
    <dgm:cxn modelId="{1943DCE1-756B-ED45-A037-A3608E2CF884}" type="presParOf" srcId="{8E6AC757-91BD-7645-8BBD-CB7119B55216}" destId="{171B9AA0-C17A-474F-B551-6F9B273C3F81}" srcOrd="4" destOrd="0" presId="urn:microsoft.com/office/officeart/2016/7/layout/VerticalDownArrowProcess"/>
    <dgm:cxn modelId="{5412335F-4067-BB48-801B-AE745A5B1062}" type="presParOf" srcId="{171B9AA0-C17A-474F-B551-6F9B273C3F81}" destId="{BC8526DB-81E0-454B-A613-A9069516B4BF}" srcOrd="0" destOrd="0" presId="urn:microsoft.com/office/officeart/2016/7/layout/VerticalDownArrowProcess"/>
    <dgm:cxn modelId="{221A4CC7-749A-F945-848D-29C5306AFFE6}" type="presParOf" srcId="{171B9AA0-C17A-474F-B551-6F9B273C3F81}" destId="{3379B11D-DD46-FB49-A2AE-F1394E2E9AF9}" srcOrd="1" destOrd="0" presId="urn:microsoft.com/office/officeart/2016/7/layout/VerticalDownArrowProcess"/>
    <dgm:cxn modelId="{D8EBCC72-45C9-FA41-9CE4-C634F6EC3A66}" type="presParOf" srcId="{171B9AA0-C17A-474F-B551-6F9B273C3F81}" destId="{322AFFAB-F8CC-2E40-A9F1-852A29AFF629}" srcOrd="2" destOrd="0" presId="urn:microsoft.com/office/officeart/2016/7/layout/VerticalDownArrowProcess"/>
    <dgm:cxn modelId="{D13679CB-07FB-534E-B0A0-3BBAEE610729}" type="presParOf" srcId="{8E6AC757-91BD-7645-8BBD-CB7119B55216}" destId="{0CFFCDC9-C33B-5D41-90BD-9041C4D7A153}" srcOrd="5" destOrd="0" presId="urn:microsoft.com/office/officeart/2016/7/layout/VerticalDownArrowProcess"/>
    <dgm:cxn modelId="{C62B022E-46F6-3E48-9C28-918893291CFC}" type="presParOf" srcId="{8E6AC757-91BD-7645-8BBD-CB7119B55216}" destId="{5E890FD4-2ECB-EF4B-B3BA-47AE0224FAEC}" srcOrd="6" destOrd="0" presId="urn:microsoft.com/office/officeart/2016/7/layout/VerticalDownArrowProcess"/>
    <dgm:cxn modelId="{4C8176EA-18F8-B044-A103-50997EEE19DF}" type="presParOf" srcId="{5E890FD4-2ECB-EF4B-B3BA-47AE0224FAEC}" destId="{5B5E873F-62D5-6C46-A4C9-92631FEBB4FF}" srcOrd="0" destOrd="0" presId="urn:microsoft.com/office/officeart/2016/7/layout/VerticalDownArrowProcess"/>
    <dgm:cxn modelId="{93049A8F-A8E5-9C44-8E73-D00F33CA538A}" type="presParOf" srcId="{5E890FD4-2ECB-EF4B-B3BA-47AE0224FAEC}" destId="{083453EC-BDA0-1347-8CCB-D3B8656CB678}" srcOrd="1" destOrd="0" presId="urn:microsoft.com/office/officeart/2016/7/layout/VerticalDownArrowProcess"/>
    <dgm:cxn modelId="{664B309D-A51B-5E48-BE2C-90C41D094031}" type="presParOf" srcId="{5E890FD4-2ECB-EF4B-B3BA-47AE0224FAEC}" destId="{9F83A029-5C1D-6648-BC28-9ADCDE317470}" srcOrd="2" destOrd="0" presId="urn:microsoft.com/office/officeart/2016/7/layout/VerticalDownArrowProcess"/>
    <dgm:cxn modelId="{45C38CD7-A8F7-264D-B52A-4D5DDE6F2FF6}" type="presParOf" srcId="{8E6AC757-91BD-7645-8BBD-CB7119B55216}" destId="{1D81E91D-053D-3A44-94DA-13929995FB68}" srcOrd="7" destOrd="0" presId="urn:microsoft.com/office/officeart/2016/7/layout/VerticalDownArrowProcess"/>
    <dgm:cxn modelId="{034FB024-DFFD-8F42-B02B-C6E780B8CB14}" type="presParOf" srcId="{8E6AC757-91BD-7645-8BBD-CB7119B55216}" destId="{8429368E-3C27-334B-8F2B-2DDC96E4ADBA}" srcOrd="8" destOrd="0" presId="urn:microsoft.com/office/officeart/2016/7/layout/VerticalDownArrowProcess"/>
    <dgm:cxn modelId="{291279B9-F464-4F44-ACCC-330A8B07D1A1}" type="presParOf" srcId="{8429368E-3C27-334B-8F2B-2DDC96E4ADBA}" destId="{C73D48B3-C052-054D-8C69-DABE552ED395}" srcOrd="0" destOrd="0" presId="urn:microsoft.com/office/officeart/2016/7/layout/VerticalDownArrowProcess"/>
    <dgm:cxn modelId="{BA3E2FB5-018A-2B44-BFBC-238DF9B8057F}" type="presParOf" srcId="{8429368E-3C27-334B-8F2B-2DDC96E4ADBA}" destId="{1C9CC5DA-0F30-B840-AF96-810119F29B59}" srcOrd="1" destOrd="0" presId="urn:microsoft.com/office/officeart/2016/7/layout/VerticalDownArrowProcess"/>
    <dgm:cxn modelId="{9614A4FD-239D-B345-8404-9C3BD2DB1977}" type="presParOf" srcId="{8429368E-3C27-334B-8F2B-2DDC96E4ADBA}" destId="{A1173B9B-571B-A748-8831-752412AA0644}" srcOrd="2" destOrd="0" presId="urn:microsoft.com/office/officeart/2016/7/layout/VerticalDownArrowProcess"/>
    <dgm:cxn modelId="{99B1DAF5-3169-9340-8B06-F2D0149859B8}" type="presParOf" srcId="{8E6AC757-91BD-7645-8BBD-CB7119B55216}" destId="{2E220DF0-1FB4-7B42-BD8F-7B28C88AB410}" srcOrd="9" destOrd="0" presId="urn:microsoft.com/office/officeart/2016/7/layout/VerticalDownArrowProcess"/>
    <dgm:cxn modelId="{1557F697-6089-7E4D-9887-EAC567A38BC0}" type="presParOf" srcId="{8E6AC757-91BD-7645-8BBD-CB7119B55216}" destId="{9A2B7518-B263-224C-9312-F47471F0DE01}" srcOrd="10" destOrd="0" presId="urn:microsoft.com/office/officeart/2016/7/layout/VerticalDownArrowProcess"/>
    <dgm:cxn modelId="{5FFAF25C-2A2A-7E40-98AA-D2BB821E748A}" type="presParOf" srcId="{9A2B7518-B263-224C-9312-F47471F0DE01}" destId="{97C37550-5EDC-FA43-AA58-07EB04B07C86}" srcOrd="0" destOrd="0" presId="urn:microsoft.com/office/officeart/2016/7/layout/VerticalDownArrowProcess"/>
    <dgm:cxn modelId="{CB12A419-CB16-D544-B2DF-4FC661EBBD7D}" type="presParOf" srcId="{9A2B7518-B263-224C-9312-F47471F0DE01}" destId="{8E33969F-32E4-4145-B166-6368EE52DCD5}" srcOrd="1" destOrd="0" presId="urn:microsoft.com/office/officeart/2016/7/layout/VerticalDownArrowProcess"/>
    <dgm:cxn modelId="{EE4A5F8B-4EC0-EE4B-A587-DF67D627B80B}" type="presParOf" srcId="{9A2B7518-B263-224C-9312-F47471F0DE01}" destId="{4AFA2081-9308-FA4A-9016-09A7F46C343F}" srcOrd="2" destOrd="0" presId="urn:microsoft.com/office/officeart/2016/7/layout/VerticalDownArrowProcess"/>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C70F67-D72C-6140-B8BC-20AE16967875}">
      <dsp:nvSpPr>
        <dsp:cNvPr id="0" name=""/>
        <dsp:cNvSpPr/>
      </dsp:nvSpPr>
      <dsp:spPr>
        <a:xfrm>
          <a:off x="0" y="2560918"/>
          <a:ext cx="1158716" cy="312671"/>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408" tIns="56896" rIns="82408" bIns="56896" numCol="1" spcCol="1270" anchor="ctr" anchorCtr="0">
          <a:noAutofit/>
        </a:bodyPr>
        <a:lstStyle/>
        <a:p>
          <a:pPr marL="0" lvl="0" indent="0" algn="ctr" defTabSz="355600">
            <a:lnSpc>
              <a:spcPct val="90000"/>
            </a:lnSpc>
            <a:spcBef>
              <a:spcPct val="0"/>
            </a:spcBef>
            <a:spcAft>
              <a:spcPct val="35000"/>
            </a:spcAft>
            <a:buNone/>
          </a:pPr>
          <a:r>
            <a:rPr lang="en-US" sz="800" kern="1200" dirty="0"/>
            <a:t>Learn, document </a:t>
          </a:r>
          <a:r>
            <a:rPr lang="en-US" sz="800" kern="1200"/>
            <a:t>&amp; share</a:t>
          </a:r>
          <a:endParaRPr lang="en-US" sz="800" kern="1200" dirty="0"/>
        </a:p>
      </dsp:txBody>
      <dsp:txXfrm>
        <a:off x="0" y="2560918"/>
        <a:ext cx="1158716" cy="312671"/>
      </dsp:txXfrm>
    </dsp:sp>
    <dsp:sp modelId="{AB172487-0441-4640-9798-C393ECB0560E}">
      <dsp:nvSpPr>
        <dsp:cNvPr id="0" name=""/>
        <dsp:cNvSpPr/>
      </dsp:nvSpPr>
      <dsp:spPr>
        <a:xfrm>
          <a:off x="1158646" y="2600754"/>
          <a:ext cx="3476148" cy="233000"/>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0513" tIns="101600" rIns="70513" bIns="101600" numCol="1" spcCol="1270" anchor="ctr" anchorCtr="0">
          <a:noAutofit/>
        </a:bodyPr>
        <a:lstStyle/>
        <a:p>
          <a:pPr marL="0" lvl="0" indent="0" algn="l" defTabSz="355600">
            <a:lnSpc>
              <a:spcPct val="90000"/>
            </a:lnSpc>
            <a:spcBef>
              <a:spcPct val="0"/>
            </a:spcBef>
            <a:spcAft>
              <a:spcPct val="35000"/>
            </a:spcAft>
            <a:buNone/>
          </a:pPr>
          <a:r>
            <a:rPr lang="en-US" sz="800" kern="1200" dirty="0"/>
            <a:t>Seek to understand, document and disseminate lessons learned (including challenges and failures) and to different audiences</a:t>
          </a:r>
        </a:p>
      </dsp:txBody>
      <dsp:txXfrm>
        <a:off x="1158646" y="2600754"/>
        <a:ext cx="3476148" cy="233000"/>
      </dsp:txXfrm>
    </dsp:sp>
    <dsp:sp modelId="{2B7F2E7B-C259-1240-AD70-5154D997AB67}">
      <dsp:nvSpPr>
        <dsp:cNvPr id="0" name=""/>
        <dsp:cNvSpPr/>
      </dsp:nvSpPr>
      <dsp:spPr>
        <a:xfrm rot="10800000">
          <a:off x="0" y="2097038"/>
          <a:ext cx="1158716" cy="449826"/>
        </a:xfrm>
        <a:prstGeom prst="upArrowCallout">
          <a:avLst>
            <a:gd name="adj1" fmla="val 5000"/>
            <a:gd name="adj2" fmla="val 10000"/>
            <a:gd name="adj3" fmla="val 15000"/>
            <a:gd name="adj4" fmla="val 64977"/>
          </a:avLst>
        </a:prstGeom>
        <a:solidFill>
          <a:schemeClr val="accent5">
            <a:hueOff val="-1351709"/>
            <a:satOff val="-3484"/>
            <a:lumOff val="-2353"/>
            <a:alphaOff val="0"/>
          </a:schemeClr>
        </a:solidFill>
        <a:ln w="12700" cap="flat" cmpd="sng" algn="ctr">
          <a:solidFill>
            <a:schemeClr val="accent5">
              <a:hueOff val="-1351709"/>
              <a:satOff val="-3484"/>
              <a:lumOff val="-235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408" tIns="56896" rIns="82408" bIns="56896" numCol="1" spcCol="1270" anchor="ctr" anchorCtr="0">
          <a:noAutofit/>
        </a:bodyPr>
        <a:lstStyle/>
        <a:p>
          <a:pPr marL="0" lvl="0" indent="0" algn="ctr" defTabSz="355600">
            <a:lnSpc>
              <a:spcPct val="90000"/>
            </a:lnSpc>
            <a:spcBef>
              <a:spcPct val="0"/>
            </a:spcBef>
            <a:spcAft>
              <a:spcPct val="35000"/>
            </a:spcAft>
            <a:buNone/>
          </a:pPr>
          <a:r>
            <a:rPr lang="en-US" sz="800" kern="1200"/>
            <a:t>Implement</a:t>
          </a:r>
        </a:p>
      </dsp:txBody>
      <dsp:txXfrm rot="-10800000">
        <a:off x="0" y="2097038"/>
        <a:ext cx="1158716" cy="292387"/>
      </dsp:txXfrm>
    </dsp:sp>
    <dsp:sp modelId="{F3ADBD93-9900-474F-A340-A7FCC6345A24}">
      <dsp:nvSpPr>
        <dsp:cNvPr id="0" name=""/>
        <dsp:cNvSpPr/>
      </dsp:nvSpPr>
      <dsp:spPr>
        <a:xfrm>
          <a:off x="1158646" y="2102587"/>
          <a:ext cx="3476148" cy="424635"/>
        </a:xfrm>
        <a:prstGeom prst="rect">
          <a:avLst/>
        </a:prstGeom>
        <a:solidFill>
          <a:schemeClr val="accent5">
            <a:tint val="40000"/>
            <a:alpha val="90000"/>
            <a:hueOff val="-1347952"/>
            <a:satOff val="-4566"/>
            <a:lumOff val="-586"/>
            <a:alphaOff val="0"/>
          </a:schemeClr>
        </a:solidFill>
        <a:ln w="12700" cap="flat" cmpd="sng" algn="ctr">
          <a:solidFill>
            <a:schemeClr val="accent5">
              <a:tint val="40000"/>
              <a:alpha val="90000"/>
              <a:hueOff val="-1347952"/>
              <a:satOff val="-4566"/>
              <a:lumOff val="-58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0513" tIns="101600" rIns="70513" bIns="101600" numCol="1" spcCol="1270" anchor="ctr" anchorCtr="0">
          <a:noAutofit/>
        </a:bodyPr>
        <a:lstStyle/>
        <a:p>
          <a:pPr marL="0" lvl="0" indent="0" algn="l" defTabSz="355600">
            <a:lnSpc>
              <a:spcPct val="90000"/>
            </a:lnSpc>
            <a:spcBef>
              <a:spcPct val="0"/>
            </a:spcBef>
            <a:spcAft>
              <a:spcPct val="35000"/>
            </a:spcAft>
            <a:buNone/>
          </a:pPr>
          <a:r>
            <a:rPr lang="en-US" sz="800" kern="1200" dirty="0"/>
            <a:t>Implement and monitor progress towards tipping point &amp; national scale</a:t>
          </a:r>
        </a:p>
        <a:p>
          <a:pPr marL="0" lvl="0" indent="0" algn="l" defTabSz="355600">
            <a:lnSpc>
              <a:spcPct val="90000"/>
            </a:lnSpc>
            <a:spcBef>
              <a:spcPct val="0"/>
            </a:spcBef>
            <a:spcAft>
              <a:spcPct val="35000"/>
            </a:spcAft>
            <a:buNone/>
          </a:pPr>
          <a:r>
            <a:rPr lang="en-US" sz="800" kern="1200" dirty="0"/>
            <a:t>Continue to demonstration county level implementation &amp; support cross-county learning</a:t>
          </a:r>
        </a:p>
      </dsp:txBody>
      <dsp:txXfrm>
        <a:off x="1158646" y="2102587"/>
        <a:ext cx="3476148" cy="424635"/>
      </dsp:txXfrm>
    </dsp:sp>
    <dsp:sp modelId="{3379B11D-DD46-FB49-A2AE-F1394E2E9AF9}">
      <dsp:nvSpPr>
        <dsp:cNvPr id="0" name=""/>
        <dsp:cNvSpPr/>
      </dsp:nvSpPr>
      <dsp:spPr>
        <a:xfrm rot="10800000">
          <a:off x="0" y="1632409"/>
          <a:ext cx="1158716" cy="464256"/>
        </a:xfrm>
        <a:prstGeom prst="upArrowCallout">
          <a:avLst>
            <a:gd name="adj1" fmla="val 5000"/>
            <a:gd name="adj2" fmla="val 10000"/>
            <a:gd name="adj3" fmla="val 15000"/>
            <a:gd name="adj4" fmla="val 64977"/>
          </a:avLst>
        </a:prstGeom>
        <a:solidFill>
          <a:schemeClr val="accent5">
            <a:hueOff val="-2703417"/>
            <a:satOff val="-6968"/>
            <a:lumOff val="-4706"/>
            <a:alphaOff val="0"/>
          </a:schemeClr>
        </a:solidFill>
        <a:ln w="12700" cap="flat" cmpd="sng" algn="ctr">
          <a:solidFill>
            <a:schemeClr val="accent5">
              <a:hueOff val="-2703417"/>
              <a:satOff val="-6968"/>
              <a:lumOff val="-470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408" tIns="56896" rIns="82408" bIns="56896" numCol="1" spcCol="1270" anchor="ctr" anchorCtr="0">
          <a:noAutofit/>
        </a:bodyPr>
        <a:lstStyle/>
        <a:p>
          <a:pPr marL="0" lvl="0" indent="0" algn="ctr" defTabSz="355600">
            <a:lnSpc>
              <a:spcPct val="90000"/>
            </a:lnSpc>
            <a:spcBef>
              <a:spcPct val="0"/>
            </a:spcBef>
            <a:spcAft>
              <a:spcPct val="35000"/>
            </a:spcAft>
            <a:buNone/>
          </a:pPr>
          <a:r>
            <a:rPr lang="en-US" sz="800" kern="1200" dirty="0"/>
            <a:t>Advocate &amp; raise awareness</a:t>
          </a:r>
        </a:p>
      </dsp:txBody>
      <dsp:txXfrm rot="-10800000">
        <a:off x="0" y="1632409"/>
        <a:ext cx="1158716" cy="301766"/>
      </dsp:txXfrm>
    </dsp:sp>
    <dsp:sp modelId="{322AFFAB-F8CC-2E40-A9F1-852A29AFF629}">
      <dsp:nvSpPr>
        <dsp:cNvPr id="0" name=""/>
        <dsp:cNvSpPr/>
      </dsp:nvSpPr>
      <dsp:spPr>
        <a:xfrm>
          <a:off x="1158646" y="1559107"/>
          <a:ext cx="3476148" cy="474111"/>
        </a:xfrm>
        <a:prstGeom prst="rect">
          <a:avLst/>
        </a:prstGeom>
        <a:solidFill>
          <a:schemeClr val="accent5">
            <a:tint val="40000"/>
            <a:alpha val="90000"/>
            <a:hueOff val="-2695905"/>
            <a:satOff val="-9133"/>
            <a:lumOff val="-1171"/>
            <a:alphaOff val="0"/>
          </a:schemeClr>
        </a:solidFill>
        <a:ln w="12700" cap="flat" cmpd="sng" algn="ctr">
          <a:solidFill>
            <a:schemeClr val="accent5">
              <a:tint val="40000"/>
              <a:alpha val="90000"/>
              <a:hueOff val="-2695905"/>
              <a:satOff val="-9133"/>
              <a:lumOff val="-117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0513" tIns="101600" rIns="70513" bIns="101600" numCol="1" spcCol="1270" anchor="ctr" anchorCtr="0">
          <a:noAutofit/>
        </a:bodyPr>
        <a:lstStyle/>
        <a:p>
          <a:pPr marL="0" lvl="0" indent="0" algn="l" defTabSz="355600">
            <a:lnSpc>
              <a:spcPct val="90000"/>
            </a:lnSpc>
            <a:spcBef>
              <a:spcPct val="0"/>
            </a:spcBef>
            <a:spcAft>
              <a:spcPct val="35000"/>
            </a:spcAft>
            <a:buNone/>
          </a:pPr>
          <a:r>
            <a:rPr lang="en-US" sz="800" kern="1200" dirty="0"/>
            <a:t>Advocate / support government to advocate for public budget, influence for funding redirection, fundraise for priorities and support of scaling</a:t>
          </a:r>
        </a:p>
        <a:p>
          <a:pPr marL="0" lvl="0" indent="0" algn="l" defTabSz="355600">
            <a:lnSpc>
              <a:spcPct val="90000"/>
            </a:lnSpc>
            <a:spcBef>
              <a:spcPct val="0"/>
            </a:spcBef>
            <a:spcAft>
              <a:spcPct val="35000"/>
            </a:spcAft>
            <a:buNone/>
          </a:pPr>
          <a:r>
            <a:rPr lang="en-US" sz="800" kern="1200" dirty="0"/>
            <a:t>Build donor &amp; supporter awareness, engage private &amp; faith-based sector, build family &amp; community awareness/demand</a:t>
          </a:r>
        </a:p>
      </dsp:txBody>
      <dsp:txXfrm>
        <a:off x="1158646" y="1559107"/>
        <a:ext cx="3476148" cy="474111"/>
      </dsp:txXfrm>
    </dsp:sp>
    <dsp:sp modelId="{083453EC-BDA0-1347-8CCB-D3B8656CB678}">
      <dsp:nvSpPr>
        <dsp:cNvPr id="0" name=""/>
        <dsp:cNvSpPr/>
      </dsp:nvSpPr>
      <dsp:spPr>
        <a:xfrm rot="10800000">
          <a:off x="0" y="1129144"/>
          <a:ext cx="1158716" cy="513993"/>
        </a:xfrm>
        <a:prstGeom prst="upArrowCallout">
          <a:avLst>
            <a:gd name="adj1" fmla="val 5000"/>
            <a:gd name="adj2" fmla="val 10000"/>
            <a:gd name="adj3" fmla="val 15000"/>
            <a:gd name="adj4" fmla="val 64977"/>
          </a:avLst>
        </a:prstGeom>
        <a:solidFill>
          <a:schemeClr val="accent5">
            <a:hueOff val="-4055126"/>
            <a:satOff val="-10451"/>
            <a:lumOff val="-7059"/>
            <a:alphaOff val="0"/>
          </a:schemeClr>
        </a:solidFill>
        <a:ln w="12700" cap="flat" cmpd="sng" algn="ctr">
          <a:solidFill>
            <a:schemeClr val="accent5">
              <a:hueOff val="-4055126"/>
              <a:satOff val="-10451"/>
              <a:lumOff val="-705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408" tIns="56896" rIns="82408" bIns="56896" numCol="1" spcCol="1270" anchor="ctr" anchorCtr="0">
          <a:noAutofit/>
        </a:bodyPr>
        <a:lstStyle/>
        <a:p>
          <a:pPr marL="0" lvl="0" indent="0" algn="ctr" defTabSz="355600">
            <a:lnSpc>
              <a:spcPct val="90000"/>
            </a:lnSpc>
            <a:spcBef>
              <a:spcPct val="0"/>
            </a:spcBef>
            <a:spcAft>
              <a:spcPct val="35000"/>
            </a:spcAft>
            <a:buNone/>
          </a:pPr>
          <a:endParaRPr lang="en-US" sz="800" kern="1200" dirty="0"/>
        </a:p>
        <a:p>
          <a:pPr marL="0" lvl="0" indent="0" algn="ctr" defTabSz="355600">
            <a:lnSpc>
              <a:spcPct val="90000"/>
            </a:lnSpc>
            <a:spcBef>
              <a:spcPct val="0"/>
            </a:spcBef>
            <a:spcAft>
              <a:spcPct val="35000"/>
            </a:spcAft>
            <a:buNone/>
          </a:pPr>
          <a:r>
            <a:rPr lang="en-US" sz="800" kern="1200" dirty="0"/>
            <a:t>Prioritize support </a:t>
          </a:r>
        </a:p>
        <a:p>
          <a:pPr marL="0" lvl="0" indent="0" algn="ctr" defTabSz="355600">
            <a:lnSpc>
              <a:spcPct val="90000"/>
            </a:lnSpc>
            <a:spcBef>
              <a:spcPct val="0"/>
            </a:spcBef>
            <a:spcAft>
              <a:spcPct val="35000"/>
            </a:spcAft>
            <a:buNone/>
          </a:pPr>
          <a:endParaRPr lang="en-US" sz="800" kern="1200" dirty="0"/>
        </a:p>
      </dsp:txBody>
      <dsp:txXfrm rot="-10800000">
        <a:off x="0" y="1129144"/>
        <a:ext cx="1158716" cy="334095"/>
      </dsp:txXfrm>
    </dsp:sp>
    <dsp:sp modelId="{9F83A029-5C1D-6648-BC28-9ADCDE317470}">
      <dsp:nvSpPr>
        <dsp:cNvPr id="0" name=""/>
        <dsp:cNvSpPr/>
      </dsp:nvSpPr>
      <dsp:spPr>
        <a:xfrm>
          <a:off x="1158646" y="1206985"/>
          <a:ext cx="3476148" cy="269485"/>
        </a:xfrm>
        <a:prstGeom prst="rect">
          <a:avLst/>
        </a:prstGeom>
        <a:solidFill>
          <a:schemeClr val="accent5">
            <a:tint val="40000"/>
            <a:alpha val="90000"/>
            <a:hueOff val="-4043857"/>
            <a:satOff val="-13699"/>
            <a:lumOff val="-1757"/>
            <a:alphaOff val="0"/>
          </a:schemeClr>
        </a:solidFill>
        <a:ln w="12700" cap="flat" cmpd="sng" algn="ctr">
          <a:solidFill>
            <a:schemeClr val="accent5">
              <a:tint val="40000"/>
              <a:alpha val="90000"/>
              <a:hueOff val="-4043857"/>
              <a:satOff val="-13699"/>
              <a:lumOff val="-175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0513" tIns="101600" rIns="70513" bIns="101600" numCol="1" spcCol="1270" anchor="ctr" anchorCtr="0">
          <a:noAutofit/>
        </a:bodyPr>
        <a:lstStyle/>
        <a:p>
          <a:pPr marL="0" lvl="0" indent="0" algn="l" defTabSz="355600">
            <a:lnSpc>
              <a:spcPct val="90000"/>
            </a:lnSpc>
            <a:spcBef>
              <a:spcPct val="0"/>
            </a:spcBef>
            <a:spcAft>
              <a:spcPct val="35000"/>
            </a:spcAft>
            <a:buNone/>
          </a:pPr>
          <a:r>
            <a:rPr lang="en-US" sz="800" kern="1200" dirty="0"/>
            <a:t>Confirm with government activities CTWWC will support related to national scaling strategy and vision</a:t>
          </a:r>
        </a:p>
      </dsp:txBody>
      <dsp:txXfrm>
        <a:off x="1158646" y="1206985"/>
        <a:ext cx="3476148" cy="269485"/>
      </dsp:txXfrm>
    </dsp:sp>
    <dsp:sp modelId="{1C9CC5DA-0F30-B840-AF96-810119F29B59}">
      <dsp:nvSpPr>
        <dsp:cNvPr id="0" name=""/>
        <dsp:cNvSpPr/>
      </dsp:nvSpPr>
      <dsp:spPr>
        <a:xfrm rot="10800000">
          <a:off x="0" y="635371"/>
          <a:ext cx="1158716" cy="460805"/>
        </a:xfrm>
        <a:prstGeom prst="upArrowCallout">
          <a:avLst>
            <a:gd name="adj1" fmla="val 5000"/>
            <a:gd name="adj2" fmla="val 10000"/>
            <a:gd name="adj3" fmla="val 15000"/>
            <a:gd name="adj4" fmla="val 64977"/>
          </a:avLst>
        </a:prstGeom>
        <a:solidFill>
          <a:schemeClr val="accent5">
            <a:hueOff val="-5406834"/>
            <a:satOff val="-13935"/>
            <a:lumOff val="-9412"/>
            <a:alphaOff val="0"/>
          </a:schemeClr>
        </a:solidFill>
        <a:ln w="12700" cap="flat" cmpd="sng" algn="ctr">
          <a:solidFill>
            <a:schemeClr val="accent5">
              <a:hueOff val="-5406834"/>
              <a:satOff val="-13935"/>
              <a:lumOff val="-941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408" tIns="56896" rIns="82408" bIns="56896" numCol="1" spcCol="1270" anchor="ctr" anchorCtr="0">
          <a:noAutofit/>
        </a:bodyPr>
        <a:lstStyle/>
        <a:p>
          <a:pPr marL="0" lvl="0" indent="0" algn="ctr" defTabSz="355600">
            <a:lnSpc>
              <a:spcPct val="90000"/>
            </a:lnSpc>
            <a:spcBef>
              <a:spcPct val="0"/>
            </a:spcBef>
            <a:spcAft>
              <a:spcPct val="35000"/>
            </a:spcAft>
            <a:buNone/>
          </a:pPr>
          <a:r>
            <a:rPr lang="en-US" sz="800" kern="1200" dirty="0"/>
            <a:t>Set targets &amp; strategy</a:t>
          </a:r>
        </a:p>
      </dsp:txBody>
      <dsp:txXfrm rot="-10800000">
        <a:off x="0" y="635371"/>
        <a:ext cx="1158716" cy="299523"/>
      </dsp:txXfrm>
    </dsp:sp>
    <dsp:sp modelId="{A1173B9B-571B-A748-8831-752412AA0644}">
      <dsp:nvSpPr>
        <dsp:cNvPr id="0" name=""/>
        <dsp:cNvSpPr/>
      </dsp:nvSpPr>
      <dsp:spPr>
        <a:xfrm>
          <a:off x="1158646" y="530112"/>
          <a:ext cx="3476148" cy="600177"/>
        </a:xfrm>
        <a:prstGeom prst="rect">
          <a:avLst/>
        </a:prstGeom>
        <a:solidFill>
          <a:schemeClr val="accent5">
            <a:tint val="40000"/>
            <a:alpha val="90000"/>
            <a:hueOff val="-5391810"/>
            <a:satOff val="-18266"/>
            <a:lumOff val="-2342"/>
            <a:alphaOff val="0"/>
          </a:schemeClr>
        </a:solidFill>
        <a:ln w="12700" cap="flat" cmpd="sng" algn="ctr">
          <a:solidFill>
            <a:schemeClr val="accent5">
              <a:tint val="40000"/>
              <a:alpha val="90000"/>
              <a:hueOff val="-5391810"/>
              <a:satOff val="-18266"/>
              <a:lumOff val="-234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0513" tIns="101600" rIns="70513" bIns="101600" numCol="1" spcCol="1270" anchor="ctr" anchorCtr="0">
          <a:noAutofit/>
        </a:bodyPr>
        <a:lstStyle/>
        <a:p>
          <a:pPr marL="0" lvl="0" indent="0" algn="l" defTabSz="355600">
            <a:lnSpc>
              <a:spcPct val="90000"/>
            </a:lnSpc>
            <a:spcBef>
              <a:spcPct val="0"/>
            </a:spcBef>
            <a:spcAft>
              <a:spcPct val="35000"/>
            </a:spcAft>
            <a:buNone/>
          </a:pPr>
          <a:r>
            <a:rPr lang="en-US" sz="800" kern="1200" dirty="0"/>
            <a:t>With key government and civil society actors, discuss current situation, assess the scalability of key priorities, set scaling targets, agree on key priorities to reach scale (3-5 years out)</a:t>
          </a:r>
        </a:p>
        <a:p>
          <a:pPr marL="0" lvl="0" indent="0" algn="l" defTabSz="355600">
            <a:lnSpc>
              <a:spcPct val="90000"/>
            </a:lnSpc>
            <a:spcBef>
              <a:spcPct val="0"/>
            </a:spcBef>
            <a:spcAft>
              <a:spcPct val="35000"/>
            </a:spcAft>
            <a:buNone/>
          </a:pPr>
          <a:r>
            <a:rPr lang="en-US" sz="800" kern="1200" dirty="0"/>
            <a:t>Support development of costed national and sub-national strategies, action plans &amp; M&amp;E frameworks</a:t>
          </a:r>
        </a:p>
      </dsp:txBody>
      <dsp:txXfrm>
        <a:off x="1158646" y="530112"/>
        <a:ext cx="3476148" cy="600177"/>
      </dsp:txXfrm>
    </dsp:sp>
    <dsp:sp modelId="{8E33969F-32E4-4145-B166-6368EE52DCD5}">
      <dsp:nvSpPr>
        <dsp:cNvPr id="0" name=""/>
        <dsp:cNvSpPr/>
      </dsp:nvSpPr>
      <dsp:spPr>
        <a:xfrm rot="10800000">
          <a:off x="0" y="69931"/>
          <a:ext cx="1158716" cy="564313"/>
        </a:xfrm>
        <a:prstGeom prst="upArrowCallout">
          <a:avLst>
            <a:gd name="adj1" fmla="val 5000"/>
            <a:gd name="adj2" fmla="val 10000"/>
            <a:gd name="adj3" fmla="val 15000"/>
            <a:gd name="adj4" fmla="val 64977"/>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408" tIns="56896" rIns="82408" bIns="56896" numCol="1" spcCol="1270" anchor="ctr" anchorCtr="0">
          <a:noAutofit/>
        </a:bodyPr>
        <a:lstStyle/>
        <a:p>
          <a:pPr marL="0" lvl="0" indent="0" algn="ctr" defTabSz="355600">
            <a:lnSpc>
              <a:spcPct val="90000"/>
            </a:lnSpc>
            <a:spcBef>
              <a:spcPct val="0"/>
            </a:spcBef>
            <a:spcAft>
              <a:spcPct val="35000"/>
            </a:spcAft>
            <a:buNone/>
          </a:pPr>
          <a:r>
            <a:rPr lang="en-US" sz="800" kern="1200" dirty="0"/>
            <a:t>Reach consensus &amp; vision</a:t>
          </a:r>
        </a:p>
      </dsp:txBody>
      <dsp:txXfrm rot="-10800000">
        <a:off x="0" y="69931"/>
        <a:ext cx="1158716" cy="366804"/>
      </dsp:txXfrm>
    </dsp:sp>
    <dsp:sp modelId="{4AFA2081-9308-FA4A-9016-09A7F46C343F}">
      <dsp:nvSpPr>
        <dsp:cNvPr id="0" name=""/>
        <dsp:cNvSpPr/>
      </dsp:nvSpPr>
      <dsp:spPr>
        <a:xfrm>
          <a:off x="1158716" y="0"/>
          <a:ext cx="3476148" cy="493205"/>
        </a:xfrm>
        <a:prstGeom prst="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0513" tIns="101600" rIns="70513" bIns="101600" numCol="1" spcCol="1270" anchor="ctr" anchorCtr="0">
          <a:noAutofit/>
        </a:bodyPr>
        <a:lstStyle/>
        <a:p>
          <a:pPr marL="0" lvl="0" indent="0" algn="l" defTabSz="355600">
            <a:lnSpc>
              <a:spcPct val="90000"/>
            </a:lnSpc>
            <a:spcBef>
              <a:spcPct val="0"/>
            </a:spcBef>
            <a:spcAft>
              <a:spcPct val="35000"/>
            </a:spcAft>
            <a:buNone/>
          </a:pPr>
          <a:r>
            <a:rPr lang="en-US" sz="800" kern="1200" dirty="0"/>
            <a:t>Review existing information (care system assessments, situational analyses, funding flows information, country care profiles, etc.) &amp; support government &amp; civil society actors to set future vision</a:t>
          </a:r>
        </a:p>
        <a:p>
          <a:pPr marL="0" lvl="0" indent="0" algn="l" defTabSz="355600">
            <a:lnSpc>
              <a:spcPct val="90000"/>
            </a:lnSpc>
            <a:spcBef>
              <a:spcPct val="0"/>
            </a:spcBef>
            <a:spcAft>
              <a:spcPct val="35000"/>
            </a:spcAft>
            <a:buNone/>
          </a:pPr>
          <a:r>
            <a:rPr lang="en-US" sz="800" kern="1200" dirty="0"/>
            <a:t>Define tipping point &amp; targets</a:t>
          </a:r>
        </a:p>
      </dsp:txBody>
      <dsp:txXfrm>
        <a:off x="1158716" y="0"/>
        <a:ext cx="3476148" cy="493205"/>
      </dsp:txXfrm>
    </dsp:sp>
  </dsp:spTree>
</dsp:drawing>
</file>

<file path=word/diagrams/layout1.xml><?xml version="1.0" encoding="utf-8"?>
<dgm:layoutDef xmlns:dgm="http://schemas.openxmlformats.org/drawingml/2006/diagram" xmlns:a="http://schemas.openxmlformats.org/drawingml/2006/main" uniqueId="urn:microsoft.com/office/officeart/2016/7/layout/VerticalDownArrowProcess">
  <dgm:title val="Vertical Down Arrow Process"/>
  <dgm:desc val="Use to show a progression; a timeline; sequential steps in a task, process, or workflow; or to emphasize movement or direction. Level 1 text appears inside an arrow shape while Level 2 text appears below the arrow shapes."/>
  <dgm:catLst>
    <dgm:cat type="process" pri="5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36"/>
      <dgm:constr type="primFontSz" for="des" forName="parentTextArrow" refType="primFontSz" refFor="des" refForName="parentTextBox" op="equ"/>
      <dgm:constr type="primFontSz" for="des" forName="descendantArrow" val="24"/>
      <dgm:constr type="primFontSz" for="des" forName="descendantArrow" refType="primFontSz" refFor="des" refForName="parentTextArrow" op="lte"/>
      <dgm:constr type="primFontSz" for="des" forName="descendantBox" refType="primFontSz" refFor="des" refForName="parentTextArrow" op="lte"/>
      <dgm:constr type="primFontSz" for="des" forName="descendantBox" refType="primFontSz" refFor="des" refForName="parentTextBox" op="lte"/>
      <dgm:constr type="primFontSz" for="des" forName="descendantArrow" refType="primFontSz" refFor="des" refForName="parentTextBox" op="lte"/>
      <dgm:constr type="primFontSz" for="des" forName="descendantBox" refType="primFontSz" refFor="des" refForName="descendan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onstrLst>
              <dgm:constr type="w" for="ch" forName="parentTextBox" refType="w" fact="0.25"/>
              <dgm:constr type="h" for="ch" forName="parentTextBox" refType="h"/>
              <dgm:constr type="t" for="ch" forName="parentTextBox"/>
              <dgm:constr type="w" for="ch" forName="descendantBox" refType="w" fact="0.75"/>
              <dgm:constr type="l" for="ch" forName="descendantBox" refType="w" fact="0.25"/>
              <dgm:constr type="b" for="ch" forName="descendantBox" refType="h"/>
              <dgm:constr type="h" for="ch" forName="descendantBox" refType="h"/>
            </dgm:constrLst>
            <dgm:ruleLst/>
            <dgm:layoutNode name="parentTextBox" styleLbl="alignNode1">
              <dgm:alg type="tx"/>
              <dgm:shape xmlns:r="http://schemas.openxmlformats.org/officeDocument/2006/relationships" type="rect" r:blip="">
                <dgm:adjLst/>
              </dgm:shape>
              <dgm:presOf axis="self"/>
              <dgm:constrLst>
                <dgm:constr type="primFontSz" refType="h" op="lte" fact="0.5"/>
                <dgm:constr type="lMarg" refType="w" fact="0.2016"/>
                <dgm:constr type="rMarg" refType="w" fact="0.2016"/>
              </dgm:constrLst>
              <dgm:ruleLst>
                <dgm:rule type="primFontSz" val="13" fact="NaN" max="NaN"/>
              </dgm:ruleLst>
            </dgm:layoutNode>
            <dgm:layoutNode name="descendantBox" styleLbl="bgAccFollowNode1">
              <dgm:alg type="tx">
                <dgm:param type="stBulletLvl" val="0"/>
                <dgm:param type="parTxLTRAlign" val="l"/>
              </dgm:alg>
              <dgm:shape xmlns:r="http://schemas.openxmlformats.org/officeDocument/2006/relationships" type="rect" r:blip="">
                <dgm:adjLst/>
              </dgm:shape>
              <dgm:presOf/>
              <dgm:constrLst>
                <dgm:constr type="tMarg" refType="primFontSz"/>
                <dgm:constr type="bMarg" refType="primFontSz"/>
                <dgm:constr type="lMarg" refType="w" fact="0.0575"/>
                <dgm:constr type="rMarg" refType="w" fact="0.0575"/>
              </dgm:constrLst>
              <dgm:presOf axis="des" ptType="node"/>
              <dgm:ruleLst>
                <dgm:rule type="primFontSz" val="11" fact="NaN" max="NaN"/>
              </dgm:ruleLst>
            </dgm:layoutNode>
          </dgm:layoutNode>
        </dgm:if>
        <dgm:else name="Name17">
          <dgm:layoutNode name="arrowAndChildren">
            <dgm:alg type="composite"/>
            <dgm:shape xmlns:r="http://schemas.openxmlformats.org/officeDocument/2006/relationships" r:blip="">
              <dgm:adjLst/>
            </dgm:shape>
            <dgm:presOf/>
            <dgm:constrLst>
              <dgm:constr type="w" for="ch" forName="parentTextArrow" refType="w" fact="0.25"/>
              <dgm:constr type="t" for="ch" forName="parentTextArrow"/>
              <dgm:constr type="h" for="ch" forName="parentTextArrow" refType="h" fact="0.65"/>
              <dgm:constr type="w" for="ch" forName="arrow" refType="w" fact="0.25"/>
              <dgm:constr type="h" for="ch" forName="arrow" refType="h"/>
              <dgm:constr type="l" for="ch" forName="descendantArrow" refType="w" fact="0.25"/>
              <dgm:constr type="w" for="ch" forName="descendantArrow" refType="w" fact="0.75"/>
              <dgm:constr type="b" for="ch" forName="descendantArrow" refType="h" fact="0.65"/>
              <dgm:constr type="h" for="ch" forName="descendantArrow" refType="h" fact="0.65"/>
            </dgm:constrLst>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constr type="primFontSz" refType="h" op="lte" fact="0.5"/>
                <dgm:constr type="lMarg" refType="w" fact="0.2016"/>
                <dgm:constr type="rMarg" refType="w" fact="0.2016"/>
              </dgm:constrLst>
              <dgm:ruleLst>
                <dgm:rule type="primFontSz" val="13" fact="NaN" max="NaN"/>
              </dgm:ruleLst>
            </dgm:layoutNode>
            <dgm:layoutNode name="arrow" styleLbl="alignNode1">
              <dgm:alg type="sp"/>
              <dgm:shape xmlns:r="http://schemas.openxmlformats.org/officeDocument/2006/relationships" rot="180" type="upArrowCallout" r:blip="">
                <dgm:adjLst>
                  <dgm:adj idx="1" val="0.05"/>
                  <dgm:adj idx="2" val="0.1"/>
                  <dgm:adj idx="3" val="0.15"/>
                </dgm:adjLst>
              </dgm:shape>
              <dgm:presOf axis="self"/>
              <dgm:constrLst/>
              <dgm:ruleLst/>
            </dgm:layoutNode>
            <dgm:layoutNode name="descendantArrow" styleLbl="bgAccFollowNode1">
              <dgm:alg type="tx">
                <dgm:param type="stBulletLvl" val="0"/>
                <dgm:param type="parTxLTRAlign" val="l"/>
              </dgm:alg>
              <dgm:shape xmlns:r="http://schemas.openxmlformats.org/officeDocument/2006/relationships" type="rect" r:blip="">
                <dgm:adjLst/>
              </dgm:shape>
              <dgm:presOf axis="des" ptType="node"/>
              <dgm:constrLst>
                <dgm:constr type="tMarg" refType="primFontSz"/>
                <dgm:constr type="bMarg" refType="primFontSz"/>
                <dgm:constr type="lMarg" refType="w" fact="0.0575"/>
                <dgm:constr type="rMarg" refType="w" fact="0.0575"/>
              </dgm:constrLst>
              <dgm:ruleLst>
                <dgm:rule type="primFontSz" val="11" fact="NaN" max="NaN"/>
              </dgm:ruleLst>
            </dgm:layoutNod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417CFA3AB4DE48AAEB2D0A1998995F" ma:contentTypeVersion="11" ma:contentTypeDescription="Create a new document." ma:contentTypeScope="" ma:versionID="b1ca464d5fedad177e5b48b386c2d002">
  <xsd:schema xmlns:xsd="http://www.w3.org/2001/XMLSchema" xmlns:xs="http://www.w3.org/2001/XMLSchema" xmlns:p="http://schemas.microsoft.com/office/2006/metadata/properties" xmlns:ns2="8b5eb283-35e0-4a67-a067-f0714ef0d630" xmlns:ns3="d83b9168-fd5a-497b-b94f-c40021723a47" targetNamespace="http://schemas.microsoft.com/office/2006/metadata/properties" ma:root="true" ma:fieldsID="dde6dddb30f9fe4cbd77253b3fafe08b" ns2:_="" ns3:_="">
    <xsd:import namespace="8b5eb283-35e0-4a67-a067-f0714ef0d630"/>
    <xsd:import namespace="d83b9168-fd5a-497b-b94f-c40021723a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eb283-35e0-4a67-a067-f0714ef0d6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3b9168-fd5a-497b-b94f-c40021723a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C0324-F67A-44C8-9C2E-46AFE0C43C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C3283C-455B-429C-8CD4-03A3DEEAC9B7}">
  <ds:schemaRefs>
    <ds:schemaRef ds:uri="http://schemas.microsoft.com/sharepoint/v3/contenttype/forms"/>
  </ds:schemaRefs>
</ds:datastoreItem>
</file>

<file path=customXml/itemProps3.xml><?xml version="1.0" encoding="utf-8"?>
<ds:datastoreItem xmlns:ds="http://schemas.openxmlformats.org/officeDocument/2006/customXml" ds:itemID="{21F3FFDB-5379-401A-A769-9526286B7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eb283-35e0-4a67-a067-f0714ef0d630"/>
    <ds:schemaRef ds:uri="d83b9168-fd5a-497b-b94f-c40021723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1381</Words>
  <Characters>7877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Bradford</dc:creator>
  <cp:keywords/>
  <dc:description/>
  <cp:lastModifiedBy>Kristen Weller</cp:lastModifiedBy>
  <cp:revision>2</cp:revision>
  <dcterms:created xsi:type="dcterms:W3CDTF">2021-05-04T15:09:00Z</dcterms:created>
  <dcterms:modified xsi:type="dcterms:W3CDTF">2021-05-04T15:09:00Z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0x010100D8417CFA3AB4DE48AAEB2D0A1998995F</vt:lpwstr>
  </property>
</Properties>
</file>